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CFF0F" w14:textId="77777777" w:rsidR="005935D1" w:rsidRPr="00B259FB" w:rsidRDefault="00B259FB" w:rsidP="00B259FB">
      <w:pPr>
        <w:pStyle w:val="NormalWeb"/>
        <w:tabs>
          <w:tab w:val="left" w:pos="360"/>
        </w:tabs>
        <w:jc w:val="center"/>
        <w:rPr>
          <w:rStyle w:val="Strong"/>
          <w:rFonts w:ascii="Sentinel" w:hAnsi="Sentinel" w:cs="Arial"/>
          <w:sz w:val="22"/>
          <w:szCs w:val="22"/>
        </w:rPr>
      </w:pPr>
      <w:r w:rsidRPr="00B259FB">
        <w:rPr>
          <w:rFonts w:ascii="Sentinel" w:hAnsi="Sentinel"/>
          <w:b/>
          <w:noProof/>
          <w:sz w:val="22"/>
          <w:szCs w:val="22"/>
        </w:rPr>
        <w:drawing>
          <wp:inline distT="0" distB="0" distL="0" distR="0" wp14:anchorId="4A96BEDD" wp14:editId="14251235">
            <wp:extent cx="2079321" cy="142497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HCA_combined_4-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9807" cy="1439015"/>
                    </a:xfrm>
                    <a:prstGeom prst="rect">
                      <a:avLst/>
                    </a:prstGeom>
                  </pic:spPr>
                </pic:pic>
              </a:graphicData>
            </a:graphic>
          </wp:inline>
        </w:drawing>
      </w:r>
    </w:p>
    <w:p w14:paraId="04F1B1F4" w14:textId="77777777" w:rsidR="00B259FB" w:rsidRDefault="0081629B" w:rsidP="00B259FB">
      <w:pPr>
        <w:pStyle w:val="NormalWeb"/>
        <w:tabs>
          <w:tab w:val="left" w:pos="360"/>
        </w:tabs>
        <w:jc w:val="center"/>
        <w:rPr>
          <w:rFonts w:ascii="Sentinel" w:hAnsi="Sentinel" w:cs="Arial"/>
          <w:bCs/>
          <w:sz w:val="22"/>
          <w:szCs w:val="22"/>
        </w:rPr>
      </w:pPr>
      <w:r w:rsidRPr="00B259FB">
        <w:rPr>
          <w:rStyle w:val="Strong"/>
          <w:rFonts w:ascii="Gotham Bold" w:hAnsi="Gotham Bold" w:cs="Arial"/>
          <w:b w:val="0"/>
          <w:sz w:val="28"/>
          <w:szCs w:val="28"/>
        </w:rPr>
        <w:t xml:space="preserve">Reporting of </w:t>
      </w:r>
      <w:r w:rsidR="00B259FB">
        <w:rPr>
          <w:rStyle w:val="Strong"/>
          <w:rFonts w:ascii="Gotham Bold" w:hAnsi="Gotham Bold" w:cs="Arial"/>
          <w:b w:val="0"/>
          <w:sz w:val="28"/>
          <w:szCs w:val="28"/>
        </w:rPr>
        <w:t>R</w:t>
      </w:r>
      <w:r w:rsidRPr="00B259FB">
        <w:rPr>
          <w:rStyle w:val="Strong"/>
          <w:rFonts w:ascii="Gotham Bold" w:hAnsi="Gotham Bold" w:cs="Arial"/>
          <w:b w:val="0"/>
          <w:sz w:val="28"/>
          <w:szCs w:val="28"/>
        </w:rPr>
        <w:t xml:space="preserve">easonable </w:t>
      </w:r>
      <w:r w:rsidR="00B259FB">
        <w:rPr>
          <w:rStyle w:val="Strong"/>
          <w:rFonts w:ascii="Gotham Bold" w:hAnsi="Gotham Bold" w:cs="Arial"/>
          <w:b w:val="0"/>
          <w:sz w:val="28"/>
          <w:szCs w:val="28"/>
        </w:rPr>
        <w:t>S</w:t>
      </w:r>
      <w:r w:rsidRPr="00B259FB">
        <w:rPr>
          <w:rStyle w:val="Strong"/>
          <w:rFonts w:ascii="Gotham Bold" w:hAnsi="Gotham Bold" w:cs="Arial"/>
          <w:b w:val="0"/>
          <w:sz w:val="28"/>
          <w:szCs w:val="28"/>
        </w:rPr>
        <w:t xml:space="preserve">uspicions of </w:t>
      </w:r>
      <w:r w:rsidR="00B259FB">
        <w:rPr>
          <w:rStyle w:val="Strong"/>
          <w:rFonts w:ascii="Gotham Bold" w:hAnsi="Gotham Bold" w:cs="Arial"/>
          <w:b w:val="0"/>
          <w:sz w:val="28"/>
          <w:szCs w:val="28"/>
        </w:rPr>
        <w:t>C</w:t>
      </w:r>
      <w:r w:rsidRPr="00B259FB">
        <w:rPr>
          <w:rStyle w:val="Strong"/>
          <w:rFonts w:ascii="Gotham Bold" w:hAnsi="Gotham Bold" w:cs="Arial"/>
          <w:b w:val="0"/>
          <w:sz w:val="28"/>
          <w:szCs w:val="28"/>
        </w:rPr>
        <w:t>rimes in LTC</w:t>
      </w:r>
      <w:r w:rsidRPr="00B259FB">
        <w:rPr>
          <w:rFonts w:ascii="Gotham Bold" w:hAnsi="Gotham Bold" w:cs="Arial"/>
          <w:b/>
          <w:bCs/>
          <w:sz w:val="28"/>
          <w:szCs w:val="28"/>
        </w:rPr>
        <w:br/>
      </w:r>
      <w:r w:rsidRPr="00B259FB">
        <w:rPr>
          <w:rStyle w:val="Emphasis"/>
          <w:rFonts w:ascii="Gotham Bold" w:hAnsi="Gotham Bold" w:cs="Arial"/>
          <w:bCs/>
          <w:sz w:val="28"/>
          <w:szCs w:val="28"/>
        </w:rPr>
        <w:t xml:space="preserve">Elder Justice Act </w:t>
      </w:r>
      <w:r w:rsidR="00B259FB">
        <w:rPr>
          <w:rStyle w:val="Emphasis"/>
          <w:rFonts w:ascii="Gotham Bold" w:hAnsi="Gotham Bold" w:cs="Arial"/>
          <w:bCs/>
          <w:sz w:val="28"/>
          <w:szCs w:val="28"/>
        </w:rPr>
        <w:t>E</w:t>
      </w:r>
      <w:r w:rsidRPr="00B259FB">
        <w:rPr>
          <w:rStyle w:val="Emphasis"/>
          <w:rFonts w:ascii="Gotham Bold" w:hAnsi="Gotham Bold" w:cs="Arial"/>
          <w:bCs/>
          <w:sz w:val="28"/>
          <w:szCs w:val="28"/>
        </w:rPr>
        <w:t xml:space="preserve">xplanation and </w:t>
      </w:r>
      <w:r w:rsidR="00B259FB">
        <w:rPr>
          <w:rStyle w:val="Emphasis"/>
          <w:rFonts w:ascii="Gotham Bold" w:hAnsi="Gotham Bold" w:cs="Arial"/>
          <w:bCs/>
          <w:sz w:val="28"/>
          <w:szCs w:val="28"/>
        </w:rPr>
        <w:t>T</w:t>
      </w:r>
      <w:r w:rsidRPr="00B259FB">
        <w:rPr>
          <w:rStyle w:val="Emphasis"/>
          <w:rFonts w:ascii="Gotham Bold" w:hAnsi="Gotham Bold" w:cs="Arial"/>
          <w:bCs/>
          <w:sz w:val="28"/>
          <w:szCs w:val="28"/>
        </w:rPr>
        <w:t>oolkit</w:t>
      </w:r>
    </w:p>
    <w:p w14:paraId="47448667" w14:textId="52D09FD7" w:rsidR="0081629B" w:rsidRPr="00B259FB" w:rsidRDefault="0081629B" w:rsidP="00BF7F9E">
      <w:pPr>
        <w:pStyle w:val="NormalWeb"/>
        <w:tabs>
          <w:tab w:val="left" w:pos="360"/>
        </w:tabs>
        <w:rPr>
          <w:rFonts w:ascii="Sentinel" w:hAnsi="Sentinel" w:cs="Arial"/>
          <w:sz w:val="22"/>
          <w:szCs w:val="22"/>
        </w:rPr>
      </w:pPr>
      <w:r w:rsidRPr="00B259FB">
        <w:rPr>
          <w:rFonts w:ascii="Sentinel" w:hAnsi="Sentinel" w:cs="Arial"/>
          <w:sz w:val="22"/>
          <w:szCs w:val="22"/>
        </w:rPr>
        <w:t xml:space="preserve">The Elder Justice Act, part of the Affordable Care Act, signed into law on March 25, 2010, has recently been clarified in CMS </w:t>
      </w:r>
      <w:hyperlink r:id="rId7" w:tgtFrame="_blank" w:history="1">
        <w:r w:rsidRPr="00B259FB">
          <w:rPr>
            <w:rStyle w:val="Hyperlink"/>
            <w:rFonts w:ascii="Sentinel" w:hAnsi="Sentinel" w:cs="Arial"/>
            <w:sz w:val="22"/>
            <w:szCs w:val="22"/>
          </w:rPr>
          <w:t xml:space="preserve">S&amp;C letter 11-30-NH, </w:t>
        </w:r>
        <w:r w:rsidRPr="00B259FB">
          <w:rPr>
            <w:rStyle w:val="Emphasis"/>
            <w:rFonts w:ascii="Sentinel" w:hAnsi="Sentinel" w:cs="Arial"/>
            <w:color w:val="0000FF"/>
            <w:sz w:val="22"/>
            <w:szCs w:val="22"/>
            <w:u w:val="single"/>
          </w:rPr>
          <w:t>Reporting Reasonable Suspicion of a Crime in a Long-Term Care Facility</w:t>
        </w:r>
      </w:hyperlink>
      <w:r w:rsidRPr="00B259FB">
        <w:rPr>
          <w:rFonts w:ascii="Sentinel" w:hAnsi="Sentinel" w:cs="Arial"/>
          <w:sz w:val="22"/>
          <w:szCs w:val="22"/>
        </w:rPr>
        <w:t xml:space="preserve">. The information contained in S&amp;C 11-30—NH is effective immediately. CMS directs the states to ensure that all appropriate state staff be fully informed within 30 days of the June 17 memorandum date. IHCA anticipates seeing this in the field shortly after July 17.  </w:t>
      </w:r>
      <w:r w:rsidRPr="00B259FB">
        <w:rPr>
          <w:rFonts w:ascii="Sentinel" w:hAnsi="Sentinel" w:cs="Arial"/>
          <w:sz w:val="22"/>
          <w:szCs w:val="22"/>
        </w:rPr>
        <w:br/>
      </w:r>
      <w:r w:rsidRPr="00B259FB">
        <w:rPr>
          <w:rFonts w:ascii="Sentinel" w:hAnsi="Sentinel" w:cs="Arial"/>
          <w:sz w:val="22"/>
          <w:szCs w:val="22"/>
        </w:rPr>
        <w:br/>
        <w:t>S&amp;C 11-30-NH, Section B. “LTC Facility Responsibilities” directs facilities to:</w:t>
      </w:r>
      <w:r w:rsidRPr="00B259FB">
        <w:rPr>
          <w:rFonts w:ascii="Sentinel" w:hAnsi="Sentinel" w:cs="Arial"/>
          <w:sz w:val="22"/>
          <w:szCs w:val="22"/>
        </w:rPr>
        <w:br/>
      </w:r>
      <w:r w:rsidRPr="00B259FB">
        <w:rPr>
          <w:rFonts w:ascii="Sentinel" w:hAnsi="Sentinel" w:cs="Arial"/>
          <w:sz w:val="22"/>
          <w:szCs w:val="22"/>
        </w:rPr>
        <w:br/>
      </w:r>
      <w:r w:rsidRPr="00B259FB">
        <w:rPr>
          <w:rStyle w:val="Strong"/>
          <w:rFonts w:ascii="Sentinel" w:hAnsi="Sentinel" w:cs="Arial"/>
          <w:sz w:val="22"/>
          <w:szCs w:val="22"/>
        </w:rPr>
        <w:t>a)</w:t>
      </w:r>
      <w:r w:rsidRPr="00B259FB">
        <w:rPr>
          <w:rFonts w:ascii="Sentinel" w:hAnsi="Sentinel" w:cs="Arial"/>
          <w:sz w:val="22"/>
          <w:szCs w:val="22"/>
        </w:rPr>
        <w:t xml:space="preserve"> </w:t>
      </w:r>
      <w:r w:rsidRPr="00B259FB">
        <w:rPr>
          <w:rFonts w:ascii="Sentinel" w:hAnsi="Sentinel" w:cs="Arial"/>
          <w:sz w:val="22"/>
          <w:szCs w:val="22"/>
        </w:rPr>
        <w:tab/>
        <w:t xml:space="preserve">Determine the applicability of the EJA (if the facility received at least $10,000 in federal </w:t>
      </w:r>
      <w:r w:rsidRPr="00B259FB">
        <w:rPr>
          <w:rFonts w:ascii="Sentinel" w:hAnsi="Sentinel" w:cs="Arial"/>
          <w:sz w:val="22"/>
          <w:szCs w:val="22"/>
        </w:rPr>
        <w:br/>
      </w:r>
      <w:r w:rsidRPr="00B259FB">
        <w:rPr>
          <w:rFonts w:ascii="Sentinel" w:hAnsi="Sentinel" w:cs="Arial"/>
          <w:sz w:val="22"/>
          <w:szCs w:val="22"/>
        </w:rPr>
        <w:tab/>
        <w:t xml:space="preserve">funds (Medicare and Medicaid) in the preceding year); </w:t>
      </w:r>
      <w:r w:rsidRPr="00B259FB">
        <w:rPr>
          <w:rFonts w:ascii="Sentinel" w:hAnsi="Sentinel" w:cs="Arial"/>
          <w:sz w:val="22"/>
          <w:szCs w:val="22"/>
        </w:rPr>
        <w:br/>
      </w:r>
      <w:r w:rsidRPr="00B259FB">
        <w:rPr>
          <w:rStyle w:val="Strong"/>
          <w:rFonts w:ascii="Sentinel" w:hAnsi="Sentinel" w:cs="Arial"/>
          <w:sz w:val="22"/>
          <w:szCs w:val="22"/>
        </w:rPr>
        <w:t xml:space="preserve">b) </w:t>
      </w:r>
      <w:r w:rsidRPr="00B259FB">
        <w:rPr>
          <w:rStyle w:val="Strong"/>
          <w:rFonts w:ascii="Sentinel" w:hAnsi="Sentinel" w:cs="Arial"/>
          <w:sz w:val="22"/>
          <w:szCs w:val="22"/>
        </w:rPr>
        <w:tab/>
      </w:r>
      <w:r w:rsidRPr="00B259FB">
        <w:rPr>
          <w:rFonts w:ascii="Sentinel" w:hAnsi="Sentinel" w:cs="Arial"/>
          <w:sz w:val="22"/>
          <w:szCs w:val="22"/>
        </w:rPr>
        <w:t xml:space="preserve">Notify all “covered individuals” of their rights and responsibilities; </w:t>
      </w:r>
      <w:r w:rsidRPr="00B259FB">
        <w:rPr>
          <w:rFonts w:ascii="Sentinel" w:hAnsi="Sentinel" w:cs="Arial"/>
          <w:sz w:val="22"/>
          <w:szCs w:val="22"/>
        </w:rPr>
        <w:br/>
      </w:r>
      <w:r w:rsidRPr="00B259FB">
        <w:rPr>
          <w:rStyle w:val="Strong"/>
          <w:rFonts w:ascii="Sentinel" w:hAnsi="Sentinel" w:cs="Arial"/>
          <w:sz w:val="22"/>
          <w:szCs w:val="22"/>
        </w:rPr>
        <w:t xml:space="preserve">c) </w:t>
      </w:r>
      <w:r w:rsidRPr="00B259FB">
        <w:rPr>
          <w:rStyle w:val="Strong"/>
          <w:rFonts w:ascii="Sentinel" w:hAnsi="Sentinel" w:cs="Arial"/>
          <w:sz w:val="22"/>
          <w:szCs w:val="22"/>
        </w:rPr>
        <w:tab/>
      </w:r>
      <w:r w:rsidRPr="00B259FB">
        <w:rPr>
          <w:rFonts w:ascii="Sentinel" w:hAnsi="Sentinel" w:cs="Arial"/>
          <w:sz w:val="22"/>
          <w:szCs w:val="22"/>
        </w:rPr>
        <w:t xml:space="preserve">Post a conspicuous Notice to Employees, and </w:t>
      </w:r>
      <w:r w:rsidRPr="00B259FB">
        <w:rPr>
          <w:rFonts w:ascii="Sentinel" w:hAnsi="Sentinel" w:cs="Arial"/>
          <w:sz w:val="22"/>
          <w:szCs w:val="22"/>
        </w:rPr>
        <w:br/>
      </w:r>
      <w:r w:rsidRPr="00B259FB">
        <w:rPr>
          <w:rStyle w:val="Strong"/>
          <w:rFonts w:ascii="Sentinel" w:hAnsi="Sentinel" w:cs="Arial"/>
          <w:sz w:val="22"/>
          <w:szCs w:val="22"/>
        </w:rPr>
        <w:t>d)</w:t>
      </w:r>
      <w:r w:rsidRPr="00B259FB">
        <w:rPr>
          <w:rFonts w:ascii="Sentinel" w:hAnsi="Sentinel" w:cs="Arial"/>
          <w:sz w:val="22"/>
          <w:szCs w:val="22"/>
        </w:rPr>
        <w:t xml:space="preserve"> </w:t>
      </w:r>
      <w:r w:rsidRPr="00B259FB">
        <w:rPr>
          <w:rFonts w:ascii="Sentinel" w:hAnsi="Sentinel" w:cs="Arial"/>
          <w:sz w:val="22"/>
          <w:szCs w:val="22"/>
        </w:rPr>
        <w:tab/>
        <w:t xml:space="preserve">Eschew retaliation.   </w:t>
      </w:r>
      <w:r w:rsidRPr="00B259FB">
        <w:rPr>
          <w:rFonts w:ascii="Sentinel" w:hAnsi="Sentinel" w:cs="Arial"/>
          <w:sz w:val="22"/>
          <w:szCs w:val="22"/>
        </w:rPr>
        <w:br/>
      </w:r>
      <w:r w:rsidRPr="00B259FB">
        <w:rPr>
          <w:rFonts w:ascii="Sentinel" w:hAnsi="Sentinel" w:cs="Arial"/>
          <w:sz w:val="22"/>
          <w:szCs w:val="22"/>
        </w:rPr>
        <w:br/>
        <w:t xml:space="preserve">IHCA (with AHCA) are providing the documents and templates below </w:t>
      </w:r>
      <w:r w:rsidR="00CA6D51">
        <w:rPr>
          <w:rFonts w:ascii="Sentinel" w:hAnsi="Sentinel" w:cs="Arial"/>
          <w:sz w:val="22"/>
          <w:szCs w:val="22"/>
        </w:rPr>
        <w:t xml:space="preserve">(available on the IHCA website) </w:t>
      </w:r>
      <w:bookmarkStart w:id="0" w:name="_GoBack"/>
      <w:bookmarkEnd w:id="0"/>
      <w:r w:rsidRPr="00B259FB">
        <w:rPr>
          <w:rFonts w:ascii="Sentinel" w:hAnsi="Sentinel" w:cs="Arial"/>
          <w:sz w:val="22"/>
          <w:szCs w:val="22"/>
        </w:rPr>
        <w:t>to assist facilities with this compliance effort. These documents/templates should be adapted to your individual facility. They have NOT been formally approved by CMS or DIA and are subject to change upon further guidance from CMS.</w:t>
      </w:r>
      <w:r w:rsidRPr="00B259FB">
        <w:rPr>
          <w:rFonts w:ascii="Sentinel" w:hAnsi="Sentinel" w:cs="Arial"/>
          <w:sz w:val="22"/>
          <w:szCs w:val="22"/>
        </w:rPr>
        <w:br/>
      </w:r>
      <w:r w:rsidRPr="00B259FB">
        <w:rPr>
          <w:rFonts w:ascii="Sentinel" w:hAnsi="Sentinel" w:cs="Arial"/>
          <w:sz w:val="22"/>
          <w:szCs w:val="22"/>
        </w:rPr>
        <w:br/>
      </w:r>
      <w:r w:rsidRPr="00CA6D51">
        <w:rPr>
          <w:rFonts w:ascii="Sentinel" w:hAnsi="Sentinel" w:cs="Arial"/>
          <w:sz w:val="22"/>
          <w:szCs w:val="22"/>
        </w:rPr>
        <w:t>Policy &amp; Procedure for Reporting Suspected Crimes - DRAFT</w:t>
      </w:r>
      <w:r w:rsidRPr="00CA6D51">
        <w:rPr>
          <w:rFonts w:ascii="Sentinel" w:hAnsi="Sentinel" w:cs="Arial"/>
          <w:sz w:val="22"/>
          <w:szCs w:val="22"/>
        </w:rPr>
        <w:br/>
        <w:t>Facility Suspected Crime Report - TEMPLATE</w:t>
      </w:r>
      <w:r w:rsidRPr="00CA6D51">
        <w:rPr>
          <w:rFonts w:ascii="Sentinel" w:hAnsi="Sentinel" w:cs="Arial"/>
          <w:sz w:val="22"/>
          <w:szCs w:val="22"/>
        </w:rPr>
        <w:br/>
        <w:t>Reporting Letter to Law Enforcement - TEMPLATE</w:t>
      </w:r>
      <w:r w:rsidRPr="00CA6D51">
        <w:rPr>
          <w:rFonts w:ascii="Sentinel" w:hAnsi="Sentinel" w:cs="Arial"/>
          <w:sz w:val="22"/>
          <w:szCs w:val="22"/>
        </w:rPr>
        <w:br/>
        <w:t>Notice of Rights and Responsibilities under the Federal Elder Justice Act</w:t>
      </w:r>
      <w:r w:rsidR="00D964B4" w:rsidRPr="00CA6D51">
        <w:rPr>
          <w:rFonts w:ascii="Sentinel" w:hAnsi="Sentinel" w:cs="Arial"/>
          <w:sz w:val="22"/>
          <w:szCs w:val="22"/>
        </w:rPr>
        <w:t xml:space="preserve"> -TEMPLATE</w:t>
      </w:r>
      <w:r w:rsidRPr="00CA6D51">
        <w:rPr>
          <w:rFonts w:ascii="Sentinel" w:hAnsi="Sentinel" w:cs="Arial"/>
          <w:sz w:val="22"/>
          <w:szCs w:val="22"/>
        </w:rPr>
        <w:br/>
      </w:r>
      <w:r w:rsidRPr="00CA6D51">
        <w:rPr>
          <w:rFonts w:ascii="Sentinel" w:hAnsi="Sentinel" w:cs="Arial"/>
          <w:sz w:val="22"/>
          <w:szCs w:val="22"/>
        </w:rPr>
        <w:br/>
        <w:t xml:space="preserve">The Iowa Department of Inspections and Appeals has issued the memo, </w:t>
      </w:r>
      <w:r w:rsidRPr="00CA6D51">
        <w:rPr>
          <w:rFonts w:ascii="Sentinel" w:hAnsi="Sentinel" w:cs="Arial"/>
          <w:i/>
          <w:iCs/>
          <w:sz w:val="22"/>
          <w:szCs w:val="22"/>
        </w:rPr>
        <w:t>Elder Justice Act Requires Facilities, Employees to Report Reasonable Suspicion of a Crime to Local Law Enforcement</w:t>
      </w:r>
      <w:r w:rsidRPr="00CA6D51">
        <w:rPr>
          <w:rFonts w:ascii="Sentinel" w:hAnsi="Sentinel" w:cs="Arial"/>
          <w:sz w:val="22"/>
          <w:szCs w:val="22"/>
        </w:rPr>
        <w:t>, to Iowa law enforcement agencies alerting them to expect an increase in reports from long term care facilities.</w:t>
      </w:r>
    </w:p>
    <w:p w14:paraId="2AE4F011" w14:textId="2A923DDD" w:rsidR="005935D1" w:rsidRPr="00B259FB" w:rsidRDefault="005935D1" w:rsidP="005935D1">
      <w:pPr>
        <w:pStyle w:val="Default"/>
        <w:rPr>
          <w:rFonts w:ascii="Sentinel" w:hAnsi="Sentinel" w:cs="Arial"/>
          <w:sz w:val="22"/>
          <w:szCs w:val="22"/>
        </w:rPr>
      </w:pPr>
      <w:r w:rsidRPr="00B259FB">
        <w:rPr>
          <w:rFonts w:ascii="Sentinel" w:hAnsi="Sentinel" w:cs="Arial"/>
          <w:b/>
          <w:sz w:val="22"/>
          <w:szCs w:val="22"/>
        </w:rPr>
        <w:t>Overview of “who” and “when”</w:t>
      </w:r>
      <w:r w:rsidRPr="00B259FB">
        <w:rPr>
          <w:rFonts w:ascii="Sentinel" w:hAnsi="Sentinel" w:cs="Arial"/>
          <w:sz w:val="22"/>
          <w:szCs w:val="22"/>
        </w:rPr>
        <w:br/>
      </w:r>
      <w:r w:rsidR="0081629B" w:rsidRPr="00B259FB">
        <w:rPr>
          <w:rFonts w:ascii="Sentinel" w:hAnsi="Sentinel" w:cs="Arial"/>
          <w:sz w:val="22"/>
          <w:szCs w:val="22"/>
        </w:rPr>
        <w:t>The Elder Justice Act requires ALL "covered individuals", meaning employees, owners, managers and agents of a long</w:t>
      </w:r>
      <w:r w:rsidR="009B7F07">
        <w:rPr>
          <w:rFonts w:ascii="Sentinel" w:hAnsi="Sentinel" w:cs="Arial"/>
          <w:sz w:val="22"/>
          <w:szCs w:val="22"/>
        </w:rPr>
        <w:t>-</w:t>
      </w:r>
      <w:r w:rsidR="0081629B" w:rsidRPr="00B259FB">
        <w:rPr>
          <w:rFonts w:ascii="Sentinel" w:hAnsi="Sentinel" w:cs="Arial"/>
          <w:sz w:val="22"/>
          <w:szCs w:val="22"/>
        </w:rPr>
        <w:t xml:space="preserve">term care facility, be notified on an annual basis of their rights and responsibilities under the Elder Justice Act. </w:t>
      </w:r>
      <w:r w:rsidRPr="00B259FB">
        <w:rPr>
          <w:rStyle w:val="Strong"/>
          <w:rFonts w:ascii="Sentinel" w:hAnsi="Sentinel" w:cs="Arial"/>
          <w:sz w:val="22"/>
          <w:szCs w:val="22"/>
        </w:rPr>
        <w:t>FAILURE TO REPORT AS REQUIRED MAY RESULT IN A CIVIL MONETARY PENALTIES AND EXCLUDED PROVIDER CLASSIFICATION</w:t>
      </w:r>
      <w:r w:rsidRPr="00B259FB">
        <w:rPr>
          <w:rFonts w:ascii="Sentinel" w:hAnsi="Sentinel" w:cs="Arial"/>
          <w:sz w:val="22"/>
          <w:szCs w:val="22"/>
        </w:rPr>
        <w:t>.</w:t>
      </w:r>
      <w:r w:rsidRPr="00B259FB">
        <w:rPr>
          <w:rFonts w:ascii="Sentinel" w:hAnsi="Sentinel" w:cs="Arial"/>
          <w:sz w:val="22"/>
          <w:szCs w:val="22"/>
        </w:rPr>
        <w:br/>
      </w:r>
      <w:r w:rsidRPr="00B259FB">
        <w:rPr>
          <w:rFonts w:ascii="Sentinel" w:hAnsi="Sentinel" w:cs="Arial"/>
          <w:sz w:val="22"/>
          <w:szCs w:val="22"/>
        </w:rPr>
        <w:br/>
      </w:r>
      <w:r w:rsidR="0081629B" w:rsidRPr="00B259FB">
        <w:rPr>
          <w:rFonts w:ascii="Sentinel" w:hAnsi="Sentinel" w:cs="Arial"/>
          <w:sz w:val="22"/>
          <w:szCs w:val="22"/>
        </w:rPr>
        <w:lastRenderedPageBreak/>
        <w:t xml:space="preserve">A “covered individual” must report to the Department of Inspections and Appeals (DIA) and one or more local law enforcement entities (i.e., local police and/or sheriff) if </w:t>
      </w:r>
      <w:r w:rsidR="009303CE" w:rsidRPr="00B259FB">
        <w:rPr>
          <w:rFonts w:ascii="Sentinel" w:hAnsi="Sentinel" w:cs="Arial"/>
          <w:sz w:val="22"/>
          <w:szCs w:val="22"/>
        </w:rPr>
        <w:t>he/she has</w:t>
      </w:r>
      <w:r w:rsidR="0081629B" w:rsidRPr="00B259FB">
        <w:rPr>
          <w:rFonts w:ascii="Sentinel" w:hAnsi="Sentinel" w:cs="Arial"/>
          <w:sz w:val="22"/>
          <w:szCs w:val="22"/>
        </w:rPr>
        <w:t xml:space="preserve"> a </w:t>
      </w:r>
      <w:r w:rsidR="00063D20" w:rsidRPr="00B259FB">
        <w:rPr>
          <w:rFonts w:ascii="Sentinel" w:hAnsi="Sentinel" w:cs="Arial"/>
          <w:sz w:val="22"/>
          <w:szCs w:val="22"/>
        </w:rPr>
        <w:t>reasonable</w:t>
      </w:r>
      <w:r w:rsidR="0081629B" w:rsidRPr="00B259FB">
        <w:rPr>
          <w:rFonts w:ascii="Sentinel" w:hAnsi="Sentinel" w:cs="Arial"/>
          <w:sz w:val="22"/>
          <w:szCs w:val="22"/>
        </w:rPr>
        <w:t xml:space="preserve"> suspicion of a crime against any individual who is a resident of, or receives care from, a long term care facility. </w:t>
      </w:r>
      <w:r w:rsidRPr="00B259FB">
        <w:rPr>
          <w:rFonts w:ascii="Sentinel" w:hAnsi="Sentinel" w:cs="Arial"/>
          <w:sz w:val="22"/>
          <w:szCs w:val="22"/>
        </w:rPr>
        <w:br/>
      </w:r>
      <w:r w:rsidRPr="00B259FB">
        <w:rPr>
          <w:rFonts w:ascii="Sentinel" w:hAnsi="Sentinel" w:cs="Arial"/>
          <w:sz w:val="22"/>
          <w:szCs w:val="22"/>
        </w:rPr>
        <w:br/>
      </w:r>
      <w:r w:rsidR="009303CE" w:rsidRPr="00B259FB">
        <w:rPr>
          <w:rFonts w:ascii="Sentinel" w:hAnsi="Sentinel" w:cs="Arial"/>
          <w:sz w:val="22"/>
          <w:szCs w:val="22"/>
        </w:rPr>
        <w:t xml:space="preserve">The </w:t>
      </w:r>
      <w:r w:rsidRPr="00B259FB">
        <w:rPr>
          <w:rFonts w:ascii="Sentinel" w:hAnsi="Sentinel" w:cs="Arial"/>
          <w:sz w:val="22"/>
          <w:szCs w:val="22"/>
        </w:rPr>
        <w:t xml:space="preserve">time frames for reporting of reasonable suspicion of a crime, depends on the seriousness of the event that leads to the reasonable suspicion. </w:t>
      </w:r>
    </w:p>
    <w:p w14:paraId="2BDA7D11" w14:textId="77777777" w:rsidR="005935D1" w:rsidRPr="00B259FB" w:rsidRDefault="005935D1" w:rsidP="005935D1">
      <w:pPr>
        <w:pStyle w:val="Default"/>
        <w:rPr>
          <w:rFonts w:ascii="Sentinel" w:hAnsi="Sentinel" w:cs="Arial"/>
          <w:sz w:val="22"/>
          <w:szCs w:val="22"/>
        </w:rPr>
      </w:pPr>
      <w:r w:rsidRPr="00B259FB">
        <w:rPr>
          <w:rFonts w:ascii="Sentinel" w:hAnsi="Sentinel" w:cs="Arial"/>
          <w:sz w:val="22"/>
          <w:szCs w:val="22"/>
        </w:rPr>
        <w:br/>
        <w:t xml:space="preserve">1. </w:t>
      </w:r>
      <w:r w:rsidRPr="00B259FB">
        <w:rPr>
          <w:rFonts w:ascii="Sentinel" w:hAnsi="Sentinel" w:cs="Arial"/>
          <w:b/>
          <w:bCs/>
          <w:i/>
          <w:iCs/>
          <w:sz w:val="22"/>
          <w:szCs w:val="22"/>
        </w:rPr>
        <w:t xml:space="preserve">Serious Bodily Injury – 2 Hour Limit: </w:t>
      </w:r>
      <w:r w:rsidRPr="00B259FB">
        <w:rPr>
          <w:rFonts w:ascii="Sentinel" w:hAnsi="Sentinel" w:cs="Arial"/>
          <w:sz w:val="22"/>
          <w:szCs w:val="22"/>
        </w:rPr>
        <w:t xml:space="preserve">If the events that cause the reasonable suspicion result in serious bodily injury to a resident, the covered individual shall report the suspicion immediately, but not later than 2 hours after forming the suspicion; </w:t>
      </w:r>
    </w:p>
    <w:p w14:paraId="77FCB430" w14:textId="77777777" w:rsidR="005935D1" w:rsidRPr="00B259FB" w:rsidRDefault="005935D1" w:rsidP="005935D1">
      <w:pPr>
        <w:pStyle w:val="Default"/>
        <w:rPr>
          <w:rFonts w:ascii="Sentinel" w:hAnsi="Sentinel" w:cs="Arial"/>
          <w:sz w:val="22"/>
          <w:szCs w:val="22"/>
        </w:rPr>
      </w:pPr>
    </w:p>
    <w:p w14:paraId="34998C6D" w14:textId="77777777" w:rsidR="005935D1" w:rsidRPr="00B259FB" w:rsidRDefault="005935D1" w:rsidP="005935D1">
      <w:pPr>
        <w:pStyle w:val="Default"/>
        <w:rPr>
          <w:rFonts w:ascii="Sentinel" w:hAnsi="Sentinel" w:cs="Arial"/>
          <w:sz w:val="22"/>
          <w:szCs w:val="22"/>
        </w:rPr>
      </w:pPr>
      <w:r w:rsidRPr="00B259FB">
        <w:rPr>
          <w:rFonts w:ascii="Sentinel" w:hAnsi="Sentinel" w:cs="Arial"/>
          <w:sz w:val="22"/>
          <w:szCs w:val="22"/>
        </w:rPr>
        <w:t xml:space="preserve">2. </w:t>
      </w:r>
      <w:r w:rsidRPr="00B259FB">
        <w:rPr>
          <w:rFonts w:ascii="Sentinel" w:hAnsi="Sentinel" w:cs="Arial"/>
          <w:b/>
          <w:bCs/>
          <w:i/>
          <w:iCs/>
          <w:sz w:val="22"/>
          <w:szCs w:val="22"/>
        </w:rPr>
        <w:t xml:space="preserve">All Others – Within 24 Hours: </w:t>
      </w:r>
      <w:r w:rsidRPr="00B259FB">
        <w:rPr>
          <w:rFonts w:ascii="Sentinel" w:hAnsi="Sentinel" w:cs="Arial"/>
          <w:sz w:val="22"/>
          <w:szCs w:val="22"/>
        </w:rPr>
        <w:t xml:space="preserve">If the events that cause the reasonable suspicion do not result in serious bodily injury to a resident, the covered individual shall report the suspicion not later than 24 hours after forming the suspicion. </w:t>
      </w:r>
    </w:p>
    <w:p w14:paraId="01ACF629" w14:textId="77777777" w:rsidR="0081629B" w:rsidRPr="00B259FB" w:rsidRDefault="0081629B" w:rsidP="0081629B">
      <w:pPr>
        <w:pStyle w:val="NormalWeb"/>
        <w:rPr>
          <w:rFonts w:ascii="Sentinel" w:hAnsi="Sentinel" w:cs="Arial"/>
          <w:sz w:val="22"/>
          <w:szCs w:val="22"/>
        </w:rPr>
      </w:pPr>
      <w:r w:rsidRPr="00B259FB">
        <w:rPr>
          <w:rFonts w:ascii="Sentinel" w:hAnsi="Sentinel" w:cs="Arial"/>
          <w:sz w:val="22"/>
          <w:szCs w:val="22"/>
        </w:rPr>
        <w:t>Any facility that determines that the EJA is applicable should hold an in-service to educate “covered individuals” of their rights and responsibilities under the Act as soon as possible. Also note that there is an independent reporting obligation on each "covered individual" to ensure their individual reporting responsibility is fulfilled. This means that for any multiple-person report, ALL covered individuals making the report should be identified. This is a distinct and separate responsibility from the abuse/mandatory reporter</w:t>
      </w:r>
      <w:r w:rsidR="009303CE" w:rsidRPr="00B259FB">
        <w:rPr>
          <w:rFonts w:ascii="Sentinel" w:hAnsi="Sentinel" w:cs="Arial"/>
          <w:sz w:val="22"/>
          <w:szCs w:val="22"/>
        </w:rPr>
        <w:t>’</w:t>
      </w:r>
      <w:r w:rsidRPr="00B259FB">
        <w:rPr>
          <w:rFonts w:ascii="Sentinel" w:hAnsi="Sentinel" w:cs="Arial"/>
          <w:sz w:val="22"/>
          <w:szCs w:val="22"/>
        </w:rPr>
        <w:t xml:space="preserve">s obligation to report dependent adult abuse to a supervisor. </w:t>
      </w:r>
      <w:r w:rsidR="0003786A" w:rsidRPr="00B259FB">
        <w:rPr>
          <w:rFonts w:ascii="Sentinel" w:hAnsi="Sentinel" w:cs="Arial"/>
          <w:sz w:val="22"/>
          <w:szCs w:val="22"/>
        </w:rPr>
        <w:t>The Elder Justice Act includes the obligation to report any suspected dependent adult abuse AND any suspected crime against a resident that is committed by other individuals including, but not limited to, family members.</w:t>
      </w:r>
      <w:r w:rsidRPr="00B259FB">
        <w:rPr>
          <w:rFonts w:ascii="Sentinel" w:hAnsi="Sentinel" w:cs="Arial"/>
          <w:sz w:val="22"/>
          <w:szCs w:val="22"/>
        </w:rPr>
        <w:br/>
      </w:r>
      <w:r w:rsidRPr="00B259FB">
        <w:rPr>
          <w:rFonts w:ascii="Sentinel" w:hAnsi="Sentinel" w:cs="Arial"/>
          <w:sz w:val="22"/>
          <w:szCs w:val="22"/>
        </w:rPr>
        <w:br/>
        <w:t xml:space="preserve">If you have questions, contact </w:t>
      </w:r>
      <w:hyperlink r:id="rId8" w:history="1">
        <w:r w:rsidRPr="00B259FB">
          <w:rPr>
            <w:rStyle w:val="Hyperlink"/>
            <w:rFonts w:ascii="Sentinel" w:hAnsi="Sentinel" w:cs="Arial"/>
            <w:sz w:val="22"/>
            <w:szCs w:val="22"/>
          </w:rPr>
          <w:t>Kelly Meyers</w:t>
        </w:r>
      </w:hyperlink>
      <w:r w:rsidRPr="00B259FB">
        <w:rPr>
          <w:rFonts w:ascii="Sentinel" w:hAnsi="Sentinel" w:cs="Arial"/>
          <w:sz w:val="22"/>
          <w:szCs w:val="22"/>
        </w:rPr>
        <w:t>, IHCA ICAL Director of Government and Regulatory Affairs.</w:t>
      </w:r>
    </w:p>
    <w:p w14:paraId="636C3E16" w14:textId="77777777" w:rsidR="00374F10" w:rsidRPr="00B259FB" w:rsidRDefault="00374F10">
      <w:pPr>
        <w:rPr>
          <w:rFonts w:ascii="Sentinel" w:hAnsi="Sentinel" w:cs="Arial"/>
        </w:rPr>
      </w:pPr>
    </w:p>
    <w:sectPr w:rsidR="00374F10" w:rsidRPr="00B259FB" w:rsidSect="005935D1">
      <w:headerReference w:type="default" r:id="rId9"/>
      <w:footerReference w:type="default" r:id="rId10"/>
      <w:footerReference w:type="first" r:id="rId11"/>
      <w:pgSz w:w="12240" w:h="15840"/>
      <w:pgMar w:top="144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F2D72" w14:textId="77777777" w:rsidR="0029458D" w:rsidRDefault="0029458D" w:rsidP="00BF7F9E">
      <w:pPr>
        <w:spacing w:after="0" w:line="240" w:lineRule="auto"/>
      </w:pPr>
      <w:r>
        <w:separator/>
      </w:r>
    </w:p>
  </w:endnote>
  <w:endnote w:type="continuationSeparator" w:id="0">
    <w:p w14:paraId="366EC4CB" w14:textId="77777777" w:rsidR="0029458D" w:rsidRDefault="0029458D" w:rsidP="00BF7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ntine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otham Bold">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23CAE" w14:textId="77777777" w:rsidR="00FB42BE" w:rsidRPr="00A40AC3" w:rsidRDefault="00FB42BE" w:rsidP="00FB42BE">
    <w:pPr>
      <w:pStyle w:val="Footer"/>
      <w:rPr>
        <w:rFonts w:ascii="Gotham Book" w:hAnsi="Gotham Book"/>
        <w:sz w:val="18"/>
        <w:szCs w:val="18"/>
      </w:rPr>
    </w:pPr>
    <w:r w:rsidRPr="00A40AC3">
      <w:rPr>
        <w:rFonts w:ascii="Gotham Book" w:hAnsi="Gotham Book"/>
        <w:sz w:val="18"/>
        <w:szCs w:val="18"/>
      </w:rPr>
      <w:t>Iowa Health Care Association</w:t>
    </w:r>
    <w:r w:rsidRPr="00A40AC3">
      <w:rPr>
        <w:rFonts w:ascii="Gotham Book" w:hAnsi="Gotham Book"/>
        <w:sz w:val="18"/>
        <w:szCs w:val="18"/>
      </w:rPr>
      <w:tab/>
    </w:r>
    <w:r w:rsidRPr="00A40AC3">
      <w:rPr>
        <w:rFonts w:ascii="Gotham Book" w:hAnsi="Gotham Book"/>
        <w:sz w:val="18"/>
        <w:szCs w:val="18"/>
      </w:rPr>
      <w:tab/>
      <w:t xml:space="preserve"> </w:t>
    </w:r>
    <w:r>
      <w:rPr>
        <w:rFonts w:ascii="Gotham Book" w:hAnsi="Gotham Book"/>
        <w:sz w:val="18"/>
        <w:szCs w:val="18"/>
      </w:rPr>
      <w:t>August 2011</w:t>
    </w:r>
  </w:p>
  <w:p w14:paraId="4D3EC1BE" w14:textId="77777777" w:rsidR="00BF7F9E" w:rsidRPr="00FB42BE" w:rsidRDefault="00BF7F9E" w:rsidP="00FB4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6C67" w14:textId="77777777" w:rsidR="007A59EA" w:rsidRPr="00A40AC3" w:rsidRDefault="007A59EA" w:rsidP="007A59EA">
    <w:pPr>
      <w:pStyle w:val="Footer"/>
      <w:rPr>
        <w:rFonts w:ascii="Gotham Book" w:hAnsi="Gotham Book"/>
        <w:sz w:val="18"/>
        <w:szCs w:val="18"/>
      </w:rPr>
    </w:pPr>
    <w:r w:rsidRPr="00A40AC3">
      <w:rPr>
        <w:rFonts w:ascii="Gotham Book" w:hAnsi="Gotham Book"/>
        <w:sz w:val="18"/>
        <w:szCs w:val="18"/>
      </w:rPr>
      <w:t>Iowa Health Care Association</w:t>
    </w:r>
    <w:r w:rsidRPr="00A40AC3">
      <w:rPr>
        <w:rFonts w:ascii="Gotham Book" w:hAnsi="Gotham Book"/>
        <w:sz w:val="18"/>
        <w:szCs w:val="18"/>
      </w:rPr>
      <w:tab/>
    </w:r>
    <w:r w:rsidRPr="00A40AC3">
      <w:rPr>
        <w:rFonts w:ascii="Gotham Book" w:hAnsi="Gotham Book"/>
        <w:sz w:val="18"/>
        <w:szCs w:val="18"/>
      </w:rPr>
      <w:tab/>
      <w:t xml:space="preserve"> </w:t>
    </w:r>
    <w:r>
      <w:rPr>
        <w:rFonts w:ascii="Gotham Book" w:hAnsi="Gotham Book"/>
        <w:sz w:val="18"/>
        <w:szCs w:val="18"/>
      </w:rPr>
      <w:t>August 2011</w:t>
    </w:r>
  </w:p>
  <w:p w14:paraId="79445872" w14:textId="77777777" w:rsidR="00BF7F9E" w:rsidRPr="007A59EA" w:rsidRDefault="00BF7F9E" w:rsidP="007A5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840A3" w14:textId="77777777" w:rsidR="0029458D" w:rsidRDefault="0029458D" w:rsidP="00BF7F9E">
      <w:pPr>
        <w:spacing w:after="0" w:line="240" w:lineRule="auto"/>
      </w:pPr>
      <w:r>
        <w:separator/>
      </w:r>
    </w:p>
  </w:footnote>
  <w:footnote w:type="continuationSeparator" w:id="0">
    <w:p w14:paraId="09B328A5" w14:textId="77777777" w:rsidR="0029458D" w:rsidRDefault="0029458D" w:rsidP="00BF7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039DE" w14:textId="77777777" w:rsidR="00BF7F9E" w:rsidRDefault="00BF7F9E">
    <w:pPr>
      <w:pStyle w:val="Header"/>
    </w:pPr>
  </w:p>
  <w:p w14:paraId="54D8C088" w14:textId="77777777" w:rsidR="00BF7F9E" w:rsidRDefault="00BF7F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9B"/>
    <w:rsid w:val="0003786A"/>
    <w:rsid w:val="00063D20"/>
    <w:rsid w:val="00202502"/>
    <w:rsid w:val="0029458D"/>
    <w:rsid w:val="002D1F31"/>
    <w:rsid w:val="002E4707"/>
    <w:rsid w:val="00374F10"/>
    <w:rsid w:val="00471E7A"/>
    <w:rsid w:val="004D3139"/>
    <w:rsid w:val="005935D1"/>
    <w:rsid w:val="005E4974"/>
    <w:rsid w:val="007A59EA"/>
    <w:rsid w:val="007C382C"/>
    <w:rsid w:val="0081629B"/>
    <w:rsid w:val="009303CE"/>
    <w:rsid w:val="009B7F07"/>
    <w:rsid w:val="00B259FB"/>
    <w:rsid w:val="00BF7F9E"/>
    <w:rsid w:val="00CA6D51"/>
    <w:rsid w:val="00D964B4"/>
    <w:rsid w:val="00FB42BE"/>
    <w:rsid w:val="00FC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06B90EC"/>
  <w15:chartTrackingRefBased/>
  <w15:docId w15:val="{AC48E30D-6ED3-4555-ABF4-0B70A2B2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629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81629B"/>
    <w:rPr>
      <w:b/>
      <w:bCs/>
    </w:rPr>
  </w:style>
  <w:style w:type="character" w:styleId="Emphasis">
    <w:name w:val="Emphasis"/>
    <w:uiPriority w:val="20"/>
    <w:qFormat/>
    <w:rsid w:val="0081629B"/>
    <w:rPr>
      <w:i/>
      <w:iCs/>
    </w:rPr>
  </w:style>
  <w:style w:type="character" w:styleId="Hyperlink">
    <w:name w:val="Hyperlink"/>
    <w:uiPriority w:val="99"/>
    <w:unhideWhenUsed/>
    <w:rsid w:val="0081629B"/>
    <w:rPr>
      <w:color w:val="0000FF"/>
      <w:u w:val="single"/>
    </w:rPr>
  </w:style>
  <w:style w:type="paragraph" w:styleId="Header">
    <w:name w:val="header"/>
    <w:basedOn w:val="Normal"/>
    <w:link w:val="HeaderChar"/>
    <w:uiPriority w:val="99"/>
    <w:unhideWhenUsed/>
    <w:rsid w:val="00BF7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F9E"/>
  </w:style>
  <w:style w:type="paragraph" w:styleId="Footer">
    <w:name w:val="footer"/>
    <w:basedOn w:val="Normal"/>
    <w:link w:val="FooterChar"/>
    <w:unhideWhenUsed/>
    <w:rsid w:val="00BF7F9E"/>
    <w:pPr>
      <w:tabs>
        <w:tab w:val="center" w:pos="4680"/>
        <w:tab w:val="right" w:pos="9360"/>
      </w:tabs>
      <w:spacing w:after="0" w:line="240" w:lineRule="auto"/>
    </w:pPr>
  </w:style>
  <w:style w:type="character" w:customStyle="1" w:styleId="FooterChar">
    <w:name w:val="Footer Char"/>
    <w:basedOn w:val="DefaultParagraphFont"/>
    <w:link w:val="Footer"/>
    <w:rsid w:val="00BF7F9E"/>
  </w:style>
  <w:style w:type="paragraph" w:styleId="BalloonText">
    <w:name w:val="Balloon Text"/>
    <w:basedOn w:val="Normal"/>
    <w:link w:val="BalloonTextChar"/>
    <w:uiPriority w:val="99"/>
    <w:semiHidden/>
    <w:unhideWhenUsed/>
    <w:rsid w:val="00BF7F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7F9E"/>
    <w:rPr>
      <w:rFonts w:ascii="Tahoma" w:hAnsi="Tahoma" w:cs="Tahoma"/>
      <w:sz w:val="16"/>
      <w:szCs w:val="16"/>
    </w:rPr>
  </w:style>
  <w:style w:type="character" w:styleId="FollowedHyperlink">
    <w:name w:val="FollowedHyperlink"/>
    <w:uiPriority w:val="99"/>
    <w:semiHidden/>
    <w:unhideWhenUsed/>
    <w:rsid w:val="005935D1"/>
    <w:rPr>
      <w:color w:val="800080"/>
      <w:u w:val="single"/>
    </w:rPr>
  </w:style>
  <w:style w:type="paragraph" w:customStyle="1" w:styleId="Default">
    <w:name w:val="Default"/>
    <w:rsid w:val="005935D1"/>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2E4707"/>
    <w:rPr>
      <w:sz w:val="16"/>
      <w:szCs w:val="16"/>
    </w:rPr>
  </w:style>
  <w:style w:type="paragraph" w:styleId="CommentText">
    <w:name w:val="annotation text"/>
    <w:basedOn w:val="Normal"/>
    <w:link w:val="CommentTextChar"/>
    <w:uiPriority w:val="99"/>
    <w:semiHidden/>
    <w:unhideWhenUsed/>
    <w:rsid w:val="002E4707"/>
    <w:pPr>
      <w:spacing w:line="240" w:lineRule="auto"/>
    </w:pPr>
    <w:rPr>
      <w:sz w:val="20"/>
      <w:szCs w:val="20"/>
    </w:rPr>
  </w:style>
  <w:style w:type="character" w:customStyle="1" w:styleId="CommentTextChar">
    <w:name w:val="Comment Text Char"/>
    <w:basedOn w:val="DefaultParagraphFont"/>
    <w:link w:val="CommentText"/>
    <w:uiPriority w:val="99"/>
    <w:semiHidden/>
    <w:rsid w:val="002E4707"/>
  </w:style>
  <w:style w:type="paragraph" w:styleId="CommentSubject">
    <w:name w:val="annotation subject"/>
    <w:basedOn w:val="CommentText"/>
    <w:next w:val="CommentText"/>
    <w:link w:val="CommentSubjectChar"/>
    <w:uiPriority w:val="99"/>
    <w:semiHidden/>
    <w:unhideWhenUsed/>
    <w:rsid w:val="002E4707"/>
    <w:rPr>
      <w:b/>
      <w:bCs/>
    </w:rPr>
  </w:style>
  <w:style w:type="character" w:customStyle="1" w:styleId="CommentSubjectChar">
    <w:name w:val="Comment Subject Char"/>
    <w:basedOn w:val="CommentTextChar"/>
    <w:link w:val="CommentSubject"/>
    <w:uiPriority w:val="99"/>
    <w:semiHidden/>
    <w:rsid w:val="002E47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67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iowahealthcare.org?subject=S%26C%20letter%20-%20reasonable%20suspicion%20of%20crim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ms.gov/Medicare/Provider-Enrollment-and-Certification/SurveyCertificationGenInfo/Downloads/SCLetter11_30.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4340</CharactersWithSpaces>
  <SharedDoc>false</SharedDoc>
  <HLinks>
    <vt:vector size="42" baseType="variant">
      <vt:variant>
        <vt:i4>4653177</vt:i4>
      </vt:variant>
      <vt:variant>
        <vt:i4>18</vt:i4>
      </vt:variant>
      <vt:variant>
        <vt:i4>0</vt:i4>
      </vt:variant>
      <vt:variant>
        <vt:i4>5</vt:i4>
      </vt:variant>
      <vt:variant>
        <vt:lpwstr>mailto:kelly@iowahealthcare.org?subject=S%26C%20letter%20-%20reasonable%20suspicion%20of%20crime</vt:lpwstr>
      </vt:variant>
      <vt:variant>
        <vt:lpwstr/>
      </vt:variant>
      <vt:variant>
        <vt:i4>4718598</vt:i4>
      </vt:variant>
      <vt:variant>
        <vt:i4>15</vt:i4>
      </vt:variant>
      <vt:variant>
        <vt:i4>0</vt:i4>
      </vt:variant>
      <vt:variant>
        <vt:i4>5</vt:i4>
      </vt:variant>
      <vt:variant>
        <vt:lpwstr>http://www.iowahealthcare.org/userdocs/Documents/Suspicion_of_Crime_DIAmemo_072011.pdf</vt:lpwstr>
      </vt:variant>
      <vt:variant>
        <vt:lpwstr/>
      </vt:variant>
      <vt:variant>
        <vt:i4>3473509</vt:i4>
      </vt:variant>
      <vt:variant>
        <vt:i4>12</vt:i4>
      </vt:variant>
      <vt:variant>
        <vt:i4>0</vt:i4>
      </vt:variant>
      <vt:variant>
        <vt:i4>5</vt:i4>
      </vt:variant>
      <vt:variant>
        <vt:lpwstr>http://www.ahcancal.org/advocacy/HCRDocuments/11 Crime Reporting Poster EJA final final.doc</vt:lpwstr>
      </vt:variant>
      <vt:variant>
        <vt:lpwstr/>
      </vt:variant>
      <vt:variant>
        <vt:i4>5374046</vt:i4>
      </vt:variant>
      <vt:variant>
        <vt:i4>9</vt:i4>
      </vt:variant>
      <vt:variant>
        <vt:i4>0</vt:i4>
      </vt:variant>
      <vt:variant>
        <vt:i4>5</vt:i4>
      </vt:variant>
      <vt:variant>
        <vt:lpwstr>http://www.iowahealthcare.org/userdocs/Documents/Law_enforcement_template_letter_72011.doc</vt:lpwstr>
      </vt:variant>
      <vt:variant>
        <vt:lpwstr/>
      </vt:variant>
      <vt:variant>
        <vt:i4>7733270</vt:i4>
      </vt:variant>
      <vt:variant>
        <vt:i4>6</vt:i4>
      </vt:variant>
      <vt:variant>
        <vt:i4>0</vt:i4>
      </vt:variant>
      <vt:variant>
        <vt:i4>5</vt:i4>
      </vt:variant>
      <vt:variant>
        <vt:lpwstr>http://www.iowahealthcare.org/userdocs/Documents/Crime_report_form_template_June_2011.docx</vt:lpwstr>
      </vt:variant>
      <vt:variant>
        <vt:lpwstr/>
      </vt:variant>
      <vt:variant>
        <vt:i4>2490493</vt:i4>
      </vt:variant>
      <vt:variant>
        <vt:i4>3</vt:i4>
      </vt:variant>
      <vt:variant>
        <vt:i4>0</vt:i4>
      </vt:variant>
      <vt:variant>
        <vt:i4>5</vt:i4>
      </vt:variant>
      <vt:variant>
        <vt:lpwstr>http://www.iowahealthcare.org/userdocs/Documents/Crime_Reporting_Template_Policy_and_Procedure_June_2011_FINAL.doc</vt:lpwstr>
      </vt:variant>
      <vt:variant>
        <vt:lpwstr/>
      </vt:variant>
      <vt:variant>
        <vt:i4>7667751</vt:i4>
      </vt:variant>
      <vt:variant>
        <vt:i4>0</vt:i4>
      </vt:variant>
      <vt:variant>
        <vt:i4>0</vt:i4>
      </vt:variant>
      <vt:variant>
        <vt:i4>5</vt:i4>
      </vt:variant>
      <vt:variant>
        <vt:lpwstr>http://www.cms.gov/SurveyCertificationGenInfo/PMSR/itemdetail.asp?filterType=none&amp;filterByDID=0&amp;sortByDID=4&amp;sortOrder=descending&amp;itemID=CMS1248845&amp;intNumPerPage=10%20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Seely</dc:creator>
  <cp:keywords/>
  <cp:lastModifiedBy>Lori Ristau</cp:lastModifiedBy>
  <cp:revision>9</cp:revision>
  <dcterms:created xsi:type="dcterms:W3CDTF">2019-03-07T21:53:00Z</dcterms:created>
  <dcterms:modified xsi:type="dcterms:W3CDTF">2019-04-25T18:52:00Z</dcterms:modified>
</cp:coreProperties>
</file>