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D7AE" w14:textId="44A41D54" w:rsidR="00F12602" w:rsidRDefault="00F12602" w:rsidP="00F12602">
      <w:pPr>
        <w:spacing w:before="71"/>
        <w:ind w:right="80"/>
        <w:jc w:val="center"/>
        <w:rPr>
          <w:rFonts w:ascii="Sentinel" w:hAnsi="Sentinel" w:cs="Arial"/>
          <w:noProof/>
        </w:rPr>
      </w:pPr>
      <w:r w:rsidRPr="00B25559">
        <w:rPr>
          <w:rFonts w:ascii="Sentinel" w:hAnsi="Sentinel" w:cs="Arial"/>
          <w:noProof/>
        </w:rPr>
        <w:drawing>
          <wp:inline distT="0" distB="0" distL="0" distR="0" wp14:anchorId="670607BD" wp14:editId="38461F6C">
            <wp:extent cx="1552575" cy="836796"/>
            <wp:effectExtent l="0" t="0" r="0" b="1905"/>
            <wp:docPr id="1" name="Picture 1" descr="ICAL_4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L_4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2BB41" w14:textId="079B68A3" w:rsidR="00CF07DA" w:rsidRPr="0076394A" w:rsidRDefault="00F12602" w:rsidP="00F12602">
      <w:pPr>
        <w:spacing w:before="71"/>
        <w:ind w:right="80"/>
        <w:jc w:val="center"/>
        <w:rPr>
          <w:rFonts w:ascii="Gotham Bold" w:hAnsi="Gotham Bold"/>
          <w:sz w:val="28"/>
          <w:szCs w:val="28"/>
        </w:rPr>
      </w:pPr>
      <w:r w:rsidRPr="0076394A">
        <w:rPr>
          <w:rFonts w:ascii="Gotham Bold" w:hAnsi="Gotham Bold"/>
          <w:sz w:val="28"/>
          <w:szCs w:val="28"/>
        </w:rPr>
        <w:t>Incident Reporting in Assisted Living Centers</w:t>
      </w:r>
    </w:p>
    <w:p w14:paraId="11E68508" w14:textId="77777777" w:rsidR="00CF07DA" w:rsidRDefault="00CF07DA">
      <w:pPr>
        <w:spacing w:before="5"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869"/>
        <w:gridCol w:w="4248"/>
      </w:tblGrid>
      <w:tr w:rsidR="00CF07DA" w14:paraId="6830C376" w14:textId="77777777">
        <w:trPr>
          <w:trHeight w:val="251"/>
        </w:trPr>
        <w:tc>
          <w:tcPr>
            <w:tcW w:w="1459" w:type="dxa"/>
            <w:shd w:val="clear" w:color="auto" w:fill="DDD9C3"/>
          </w:tcPr>
          <w:p w14:paraId="538A4445" w14:textId="77777777" w:rsidR="00CF07DA" w:rsidRDefault="00CF07D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69" w:type="dxa"/>
            <w:shd w:val="clear" w:color="auto" w:fill="DDD9C3"/>
          </w:tcPr>
          <w:p w14:paraId="7A69E607" w14:textId="77777777" w:rsidR="00CF07DA" w:rsidRDefault="00F1260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AL Licensure Requirements</w:t>
            </w:r>
          </w:p>
        </w:tc>
        <w:tc>
          <w:tcPr>
            <w:tcW w:w="4248" w:type="dxa"/>
            <w:shd w:val="clear" w:color="auto" w:fill="DDD9C3"/>
          </w:tcPr>
          <w:p w14:paraId="4BAA8803" w14:textId="77777777" w:rsidR="00CF07DA" w:rsidRDefault="00F1260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Medicaid Certification Requirements</w:t>
            </w:r>
          </w:p>
        </w:tc>
      </w:tr>
      <w:tr w:rsidR="00CF07DA" w14:paraId="3386FC97" w14:textId="77777777">
        <w:trPr>
          <w:trHeight w:val="254"/>
        </w:trPr>
        <w:tc>
          <w:tcPr>
            <w:tcW w:w="1459" w:type="dxa"/>
          </w:tcPr>
          <w:p w14:paraId="31C7870B" w14:textId="77777777" w:rsidR="00CF07DA" w:rsidRDefault="00CF07D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69" w:type="dxa"/>
          </w:tcPr>
          <w:p w14:paraId="4E949087" w14:textId="77777777" w:rsidR="00CF07DA" w:rsidRDefault="00F12602">
            <w:pPr>
              <w:pStyle w:val="TableParagraph"/>
              <w:spacing w:line="234" w:lineRule="exact"/>
              <w:ind w:left="105"/>
            </w:pPr>
            <w:r>
              <w:t>IAC 481--67.2(1), 67.11, 69.4 69.25</w:t>
            </w:r>
          </w:p>
        </w:tc>
        <w:tc>
          <w:tcPr>
            <w:tcW w:w="4248" w:type="dxa"/>
          </w:tcPr>
          <w:p w14:paraId="34797B96" w14:textId="77777777" w:rsidR="00CF07DA" w:rsidRDefault="00F12602">
            <w:pPr>
              <w:pStyle w:val="TableParagraph"/>
              <w:spacing w:line="234" w:lineRule="exact"/>
            </w:pPr>
            <w:r>
              <w:t>IAC 441--77.33(22) – elderly waiver</w:t>
            </w:r>
          </w:p>
        </w:tc>
      </w:tr>
      <w:tr w:rsidR="00CF07DA" w14:paraId="3C7982E2" w14:textId="77777777">
        <w:trPr>
          <w:trHeight w:val="251"/>
        </w:trPr>
        <w:tc>
          <w:tcPr>
            <w:tcW w:w="1459" w:type="dxa"/>
          </w:tcPr>
          <w:p w14:paraId="5C94F130" w14:textId="77777777" w:rsidR="00CF07DA" w:rsidRDefault="00F1260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Consumers</w:t>
            </w:r>
          </w:p>
        </w:tc>
        <w:tc>
          <w:tcPr>
            <w:tcW w:w="3869" w:type="dxa"/>
          </w:tcPr>
          <w:p w14:paraId="58F5B174" w14:textId="77777777" w:rsidR="00CF07DA" w:rsidRDefault="00F12602">
            <w:pPr>
              <w:pStyle w:val="TableParagraph"/>
              <w:spacing w:line="232" w:lineRule="exact"/>
              <w:ind w:left="105"/>
            </w:pPr>
            <w:r>
              <w:t>All Assisted Living tenants</w:t>
            </w:r>
          </w:p>
        </w:tc>
        <w:tc>
          <w:tcPr>
            <w:tcW w:w="4248" w:type="dxa"/>
          </w:tcPr>
          <w:p w14:paraId="64A58202" w14:textId="77777777" w:rsidR="00CF07DA" w:rsidRDefault="00F12602">
            <w:pPr>
              <w:pStyle w:val="TableParagraph"/>
              <w:spacing w:line="232" w:lineRule="exact"/>
            </w:pPr>
            <w:r>
              <w:t>Medicaid HCBS Waiver consumers</w:t>
            </w:r>
          </w:p>
        </w:tc>
      </w:tr>
      <w:tr w:rsidR="00CF07DA" w14:paraId="09CF8249" w14:textId="77777777">
        <w:trPr>
          <w:trHeight w:val="10878"/>
        </w:trPr>
        <w:tc>
          <w:tcPr>
            <w:tcW w:w="1459" w:type="dxa"/>
          </w:tcPr>
          <w:p w14:paraId="1C9EF11E" w14:textId="77777777" w:rsidR="00CF07DA" w:rsidRDefault="00F12602">
            <w:pPr>
              <w:pStyle w:val="TableParagraph"/>
              <w:spacing w:before="1"/>
              <w:ind w:right="350"/>
              <w:rPr>
                <w:i/>
              </w:rPr>
            </w:pPr>
            <w:r>
              <w:rPr>
                <w:i/>
              </w:rPr>
              <w:t>Major Incident or Injury</w:t>
            </w:r>
          </w:p>
        </w:tc>
        <w:tc>
          <w:tcPr>
            <w:tcW w:w="3869" w:type="dxa"/>
          </w:tcPr>
          <w:p w14:paraId="1894DDA6" w14:textId="77777777" w:rsidR="00CF07DA" w:rsidRDefault="00F12602">
            <w:pPr>
              <w:pStyle w:val="TableParagraph"/>
              <w:spacing w:before="1"/>
              <w:ind w:left="105" w:right="349"/>
            </w:pPr>
            <w:r>
              <w:t>“</w:t>
            </w:r>
            <w:r>
              <w:rPr>
                <w:i/>
              </w:rPr>
              <w:t>Major injury</w:t>
            </w:r>
            <w:r>
              <w:t>” shall be defined as any injury which:</w:t>
            </w:r>
          </w:p>
          <w:p w14:paraId="2207E34D" w14:textId="77777777" w:rsidR="00CF07DA" w:rsidRDefault="00F12602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51" w:lineRule="exact"/>
            </w:pPr>
            <w:r>
              <w:t>Results in death;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or</w:t>
            </w:r>
          </w:p>
          <w:p w14:paraId="23A7CB14" w14:textId="77777777" w:rsidR="00CF07DA" w:rsidRDefault="00F12602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1"/>
              <w:ind w:right="290"/>
            </w:pPr>
            <w:r>
              <w:t xml:space="preserve">Requires admission to a higher level of care for treatment, other than for observation; </w:t>
            </w:r>
            <w:r>
              <w:rPr>
                <w:spacing w:val="-3"/>
              </w:rPr>
              <w:t>or</w:t>
            </w:r>
          </w:p>
          <w:p w14:paraId="77268A64" w14:textId="77777777" w:rsidR="00CF07DA" w:rsidRDefault="00F12602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ind w:right="196"/>
            </w:pPr>
            <w:r>
              <w:t>Requires consultation with the attending physician, designee of the physician, or physician extender who determines, in writing on a form designated by the departmen</w:t>
            </w:r>
            <w:r>
              <w:t>t, that an injury is a “major injury” based upon the circumstances of the accident, the previous functional ability of the tenant, and the tenant’s</w:t>
            </w:r>
            <w:r>
              <w:rPr>
                <w:spacing w:val="-5"/>
              </w:rPr>
              <w:t xml:space="preserve"> </w:t>
            </w:r>
            <w:r>
              <w:t>prognosis.</w:t>
            </w:r>
          </w:p>
          <w:p w14:paraId="1C980D26" w14:textId="77777777" w:rsidR="00CF07DA" w:rsidRDefault="00F12602">
            <w:pPr>
              <w:pStyle w:val="TableParagraph"/>
              <w:spacing w:line="252" w:lineRule="exact"/>
              <w:ind w:left="105"/>
            </w:pPr>
            <w:r>
              <w:t>Other incidences for reporting</w:t>
            </w:r>
          </w:p>
          <w:p w14:paraId="103D3729" w14:textId="77777777" w:rsidR="00CF07DA" w:rsidRDefault="00F12602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right="276"/>
            </w:pPr>
            <w:r>
              <w:t>When damage to the program is caused by a natural or other</w:t>
            </w:r>
            <w:r>
              <w:rPr>
                <w:spacing w:val="-9"/>
              </w:rPr>
              <w:t xml:space="preserve"> </w:t>
            </w:r>
            <w:r>
              <w:t>disaste</w:t>
            </w:r>
            <w:r>
              <w:t>r.</w:t>
            </w:r>
          </w:p>
          <w:p w14:paraId="1779D6E5" w14:textId="77777777" w:rsidR="00CF07DA" w:rsidRDefault="00F12602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right="118"/>
            </w:pPr>
            <w:r>
              <w:t xml:space="preserve">When there is an act that causes major injury to a tenant or when a program has knowledge of a pattern of acts committed by the same tenant on another tenant that results in any physical injury. For the purposes of this </w:t>
            </w:r>
            <w:proofErr w:type="spellStart"/>
            <w:r>
              <w:t>subrule</w:t>
            </w:r>
            <w:proofErr w:type="spellEnd"/>
            <w:r>
              <w:t>, “pattern” means two or m</w:t>
            </w:r>
            <w:r>
              <w:t>ore times within a 30-day</w:t>
            </w:r>
            <w:r>
              <w:rPr>
                <w:spacing w:val="-4"/>
              </w:rPr>
              <w:t xml:space="preserve"> </w:t>
            </w:r>
            <w:r>
              <w:t>period.</w:t>
            </w:r>
          </w:p>
          <w:p w14:paraId="3835CF1B" w14:textId="77777777" w:rsidR="00CF07DA" w:rsidRDefault="00F12602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52" w:lineRule="exact"/>
            </w:pPr>
            <w:r>
              <w:t>When a tenant elopes from a</w:t>
            </w:r>
            <w:r>
              <w:rPr>
                <w:spacing w:val="-9"/>
              </w:rPr>
              <w:t xml:space="preserve"> </w:t>
            </w:r>
            <w:r>
              <w:t>program.</w:t>
            </w:r>
          </w:p>
          <w:p w14:paraId="03571654" w14:textId="77777777" w:rsidR="00CF07DA" w:rsidRDefault="00F12602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1"/>
              <w:ind w:right="690"/>
            </w:pPr>
            <w:r>
              <w:t>When a tenant attempts suicide, regardless of</w:t>
            </w:r>
            <w:r>
              <w:rPr>
                <w:spacing w:val="-5"/>
              </w:rPr>
              <w:t xml:space="preserve"> </w:t>
            </w:r>
            <w:r>
              <w:t>injury.</w:t>
            </w:r>
          </w:p>
          <w:p w14:paraId="3F004DFC" w14:textId="77777777" w:rsidR="00CF07DA" w:rsidRDefault="00F12602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right="275"/>
            </w:pPr>
            <w:r>
              <w:t>When a fire occurs in a program and the fire requires the notification of emergency services, requires full or partial evacuation of the program,</w:t>
            </w:r>
            <w:r>
              <w:rPr>
                <w:spacing w:val="-12"/>
              </w:rPr>
              <w:t xml:space="preserve"> </w:t>
            </w:r>
            <w:r>
              <w:t>or causes physical injury to a</w:t>
            </w:r>
            <w:r>
              <w:rPr>
                <w:spacing w:val="-10"/>
              </w:rPr>
              <w:t xml:space="preserve"> </w:t>
            </w:r>
            <w:r>
              <w:t>tenant.</w:t>
            </w:r>
          </w:p>
          <w:p w14:paraId="09BCA29A" w14:textId="77777777" w:rsidR="00CF07DA" w:rsidRDefault="00F12602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right="101"/>
              <w:jc w:val="both"/>
            </w:pPr>
            <w:r>
              <w:t>When a defect or failure occurs in the fire sprinkler or fire alarm sys</w:t>
            </w:r>
            <w:r>
              <w:t>tem for more than 4 hours in a 24-hour</w:t>
            </w:r>
            <w:r>
              <w:rPr>
                <w:spacing w:val="-7"/>
              </w:rPr>
              <w:t xml:space="preserve"> </w:t>
            </w:r>
            <w:r>
              <w:t>period.</w:t>
            </w:r>
          </w:p>
          <w:p w14:paraId="24B6B08F" w14:textId="77777777" w:rsidR="00CF07DA" w:rsidRDefault="00F12602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1"/>
              <w:ind w:right="173"/>
            </w:pPr>
            <w:r>
              <w:t>Additional reporting requirements created by other rules and statutes, including but not limited to Iowa Code chapters 235B and 235E, which require reporting of dependent</w:t>
            </w:r>
            <w:r>
              <w:rPr>
                <w:spacing w:val="-8"/>
              </w:rPr>
              <w:t xml:space="preserve"> </w:t>
            </w:r>
            <w:r>
              <w:t>adult</w:t>
            </w:r>
          </w:p>
          <w:p w14:paraId="0FA023C9" w14:textId="77777777" w:rsidR="00CF07DA" w:rsidRDefault="00F12602">
            <w:pPr>
              <w:pStyle w:val="TableParagraph"/>
              <w:spacing w:line="233" w:lineRule="exact"/>
              <w:ind w:left="357"/>
            </w:pPr>
            <w:r>
              <w:t>abuse.</w:t>
            </w:r>
          </w:p>
        </w:tc>
        <w:tc>
          <w:tcPr>
            <w:tcW w:w="4248" w:type="dxa"/>
          </w:tcPr>
          <w:p w14:paraId="0D899497" w14:textId="77777777" w:rsidR="00CF07DA" w:rsidRDefault="00F12602">
            <w:pPr>
              <w:pStyle w:val="TableParagraph"/>
              <w:spacing w:before="1"/>
              <w:ind w:right="653"/>
            </w:pPr>
            <w:r>
              <w:rPr>
                <w:i/>
              </w:rPr>
              <w:t xml:space="preserve">“Major incident” </w:t>
            </w:r>
            <w:r>
              <w:t>means an occurrence involving a consumer during service provision that:</w:t>
            </w:r>
          </w:p>
          <w:p w14:paraId="72160BAA" w14:textId="77777777" w:rsidR="00CF07DA" w:rsidRDefault="00F12602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415"/>
            </w:pPr>
            <w:r>
              <w:t>Results in a physical injury to or by the consumer that requires a physician’s treatment or admission to a</w:t>
            </w:r>
            <w:r>
              <w:rPr>
                <w:spacing w:val="-4"/>
              </w:rPr>
              <w:t xml:space="preserve"> </w:t>
            </w:r>
            <w:r>
              <w:t>hospital;</w:t>
            </w:r>
          </w:p>
          <w:p w14:paraId="52CA7C68" w14:textId="77777777" w:rsidR="00CF07DA" w:rsidRDefault="00F12602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52" w:lineRule="exact"/>
            </w:pPr>
            <w:r>
              <w:t>Results in the death of any</w:t>
            </w:r>
            <w:r>
              <w:rPr>
                <w:spacing w:val="-10"/>
              </w:rPr>
              <w:t xml:space="preserve"> </w:t>
            </w:r>
            <w:r>
              <w:t>person;</w:t>
            </w:r>
          </w:p>
          <w:p w14:paraId="3D13812A" w14:textId="77777777" w:rsidR="00CF07DA" w:rsidRDefault="00F12602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824"/>
            </w:pPr>
            <w:r>
              <w:t>Requires emergency mental health treatment for the</w:t>
            </w:r>
            <w:r>
              <w:rPr>
                <w:spacing w:val="-4"/>
              </w:rPr>
              <w:t xml:space="preserve"> </w:t>
            </w:r>
            <w:r>
              <w:t>consumer;</w:t>
            </w:r>
          </w:p>
          <w:p w14:paraId="304F0ADD" w14:textId="77777777" w:rsidR="00CF07DA" w:rsidRDefault="00F12602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1037"/>
            </w:pPr>
            <w:r>
              <w:t>Requires the intervention of law enforcement;</w:t>
            </w:r>
          </w:p>
          <w:p w14:paraId="63609B9F" w14:textId="77777777" w:rsidR="00CF07DA" w:rsidRDefault="00F12602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140"/>
            </w:pPr>
            <w:r>
              <w:t>Requires a report of child abuse pursuant to Iowa Code section 232.69 or a report of dependent adult abuse pursua</w:t>
            </w:r>
            <w:r>
              <w:t>nt to Iowa Code section</w:t>
            </w:r>
            <w:r>
              <w:rPr>
                <w:spacing w:val="-1"/>
              </w:rPr>
              <w:t xml:space="preserve"> </w:t>
            </w:r>
            <w:r>
              <w:t>235B.3;</w:t>
            </w:r>
          </w:p>
          <w:p w14:paraId="0C3F0CB7" w14:textId="77777777" w:rsidR="00CF07DA" w:rsidRDefault="00F12602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111"/>
            </w:pPr>
            <w:r>
              <w:t>Constitutes a prescription medication error or a pattern of medication errors that leads to the outcome in paragraph “1,” “2,” or “3”;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69D775CF" w14:textId="77777777" w:rsidR="00CF07DA" w:rsidRDefault="00F12602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588"/>
            </w:pPr>
            <w:r>
              <w:t>Involves a consumer’s location being unknown by provider staff who are assigned protec</w:t>
            </w:r>
            <w:r>
              <w:t>tive</w:t>
            </w:r>
            <w:r>
              <w:rPr>
                <w:spacing w:val="-4"/>
              </w:rPr>
              <w:t xml:space="preserve"> </w:t>
            </w:r>
            <w:r>
              <w:t>oversight.</w:t>
            </w:r>
          </w:p>
        </w:tc>
      </w:tr>
    </w:tbl>
    <w:p w14:paraId="58B75EC2" w14:textId="0E69B78D" w:rsidR="00CF07DA" w:rsidRDefault="00F72161" w:rsidP="0076394A">
      <w:pPr>
        <w:tabs>
          <w:tab w:val="left" w:pos="6780"/>
        </w:tabs>
        <w:spacing w:before="8"/>
        <w:rPr>
          <w:sz w:val="18"/>
        </w:rPr>
        <w:sectPr w:rsidR="00CF07DA" w:rsidSect="0076394A">
          <w:footerReference w:type="default" r:id="rId8"/>
          <w:type w:val="continuous"/>
          <w:pgSz w:w="12240" w:h="15840"/>
          <w:pgMar w:top="720" w:right="1224" w:bottom="720" w:left="1224" w:header="720" w:footer="776" w:gutter="0"/>
          <w:cols w:space="720"/>
        </w:sectPr>
      </w:pPr>
      <w:r>
        <w:rPr>
          <w:b/>
          <w:sz w:val="18"/>
        </w:rPr>
        <w:tab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869"/>
        <w:gridCol w:w="4248"/>
      </w:tblGrid>
      <w:tr w:rsidR="00CF07DA" w14:paraId="1607849A" w14:textId="77777777">
        <w:trPr>
          <w:trHeight w:val="2783"/>
        </w:trPr>
        <w:tc>
          <w:tcPr>
            <w:tcW w:w="1459" w:type="dxa"/>
          </w:tcPr>
          <w:p w14:paraId="0DBB189D" w14:textId="77777777" w:rsidR="00CF07DA" w:rsidRDefault="00F12602">
            <w:pPr>
              <w:pStyle w:val="TableParagraph"/>
              <w:ind w:right="243"/>
              <w:rPr>
                <w:i/>
              </w:rPr>
            </w:pPr>
            <w:r>
              <w:rPr>
                <w:i/>
              </w:rPr>
              <w:lastRenderedPageBreak/>
              <w:t>Minor Incident or non- reports to the state agencies</w:t>
            </w:r>
          </w:p>
        </w:tc>
        <w:tc>
          <w:tcPr>
            <w:tcW w:w="3869" w:type="dxa"/>
          </w:tcPr>
          <w:p w14:paraId="5DABF43C" w14:textId="77777777" w:rsidR="00CF07DA" w:rsidRDefault="00F12602">
            <w:pPr>
              <w:pStyle w:val="TableParagraph"/>
              <w:spacing w:line="242" w:lineRule="auto"/>
              <w:ind w:left="105" w:right="875"/>
            </w:pPr>
            <w:r>
              <w:t>The following are not reportable accidents to DIA:</w:t>
            </w:r>
          </w:p>
          <w:p w14:paraId="28C57A4A" w14:textId="77777777" w:rsidR="00CF07DA" w:rsidRDefault="00F12602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right="158"/>
            </w:pPr>
            <w:r>
              <w:t>An ambulatory tenant who falls when neither the program nor its employees have culpability related to the fall, even if the tenant sustains a major injury; or</w:t>
            </w:r>
          </w:p>
          <w:p w14:paraId="3AF13037" w14:textId="77777777" w:rsidR="00CF07DA" w:rsidRDefault="00F12602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52" w:lineRule="exact"/>
            </w:pPr>
            <w:r>
              <w:t>Spontaneous fractures;</w:t>
            </w:r>
            <w:r>
              <w:rPr>
                <w:spacing w:val="-4"/>
              </w:rPr>
              <w:t xml:space="preserve"> </w:t>
            </w:r>
            <w:r>
              <w:t>or</w:t>
            </w:r>
          </w:p>
          <w:p w14:paraId="51D384D2" w14:textId="77777777" w:rsidR="00CF07DA" w:rsidRDefault="00F12602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52" w:lineRule="exact"/>
            </w:pPr>
            <w:r>
              <w:t>Hairline</w:t>
            </w:r>
            <w:r>
              <w:rPr>
                <w:spacing w:val="-1"/>
              </w:rPr>
              <w:t xml:space="preserve"> </w:t>
            </w:r>
            <w:r>
              <w:t>fractures.</w:t>
            </w:r>
          </w:p>
        </w:tc>
        <w:tc>
          <w:tcPr>
            <w:tcW w:w="4248" w:type="dxa"/>
          </w:tcPr>
          <w:p w14:paraId="3A9B5A22" w14:textId="77777777" w:rsidR="00CF07DA" w:rsidRDefault="00F12602">
            <w:pPr>
              <w:pStyle w:val="TableParagraph"/>
              <w:ind w:right="500"/>
            </w:pPr>
            <w:r>
              <w:rPr>
                <w:i/>
              </w:rPr>
              <w:t xml:space="preserve">“Minor incident” </w:t>
            </w:r>
            <w:r>
              <w:t>means an occurrence involving a co</w:t>
            </w:r>
            <w:r>
              <w:t>nsumer during service provision that is not a major incident and that:</w:t>
            </w:r>
          </w:p>
          <w:p w14:paraId="74DDAF21" w14:textId="77777777" w:rsidR="00CF07DA" w:rsidRDefault="00F1260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52" w:lineRule="exact"/>
            </w:pPr>
            <w:r>
              <w:t>Results in the application of basic first</w:t>
            </w:r>
            <w:r>
              <w:rPr>
                <w:spacing w:val="-8"/>
              </w:rPr>
              <w:t xml:space="preserve"> </w:t>
            </w:r>
            <w:r>
              <w:t>aid;</w:t>
            </w:r>
          </w:p>
          <w:p w14:paraId="77946A97" w14:textId="77777777" w:rsidR="00CF07DA" w:rsidRDefault="00F1260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52" w:lineRule="exact"/>
            </w:pPr>
            <w:r>
              <w:t>Results in</w:t>
            </w:r>
            <w:r>
              <w:rPr>
                <w:spacing w:val="-3"/>
              </w:rPr>
              <w:t xml:space="preserve"> </w:t>
            </w:r>
            <w:r>
              <w:t>bruising;</w:t>
            </w:r>
          </w:p>
          <w:p w14:paraId="13CA0863" w14:textId="77777777" w:rsidR="00CF07DA" w:rsidRDefault="00F1260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52" w:lineRule="exact"/>
            </w:pPr>
            <w:r>
              <w:t>Results in seizure</w:t>
            </w:r>
            <w:r>
              <w:rPr>
                <w:spacing w:val="-5"/>
              </w:rPr>
              <w:t xml:space="preserve"> </w:t>
            </w:r>
            <w:r>
              <w:t>activity;</w:t>
            </w:r>
          </w:p>
          <w:p w14:paraId="48B0763C" w14:textId="77777777" w:rsidR="00CF07DA" w:rsidRDefault="00F1260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427"/>
            </w:pPr>
            <w:r>
              <w:t>Results in injury to self, to others, or to property; or</w:t>
            </w:r>
          </w:p>
          <w:p w14:paraId="34B4C572" w14:textId="77777777" w:rsidR="00CF07DA" w:rsidRDefault="00F1260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52" w:lineRule="exact"/>
              <w:ind w:right="593"/>
            </w:pPr>
            <w:r>
              <w:t>Constitutes a prescription medication error.</w:t>
            </w:r>
          </w:p>
        </w:tc>
      </w:tr>
      <w:tr w:rsidR="00CF07DA" w14:paraId="179E5594" w14:textId="77777777">
        <w:trPr>
          <w:trHeight w:val="2022"/>
        </w:trPr>
        <w:tc>
          <w:tcPr>
            <w:tcW w:w="1459" w:type="dxa"/>
          </w:tcPr>
          <w:p w14:paraId="3976C7C9" w14:textId="77777777" w:rsidR="00CF07DA" w:rsidRDefault="00F12602">
            <w:pPr>
              <w:pStyle w:val="TableParagraph"/>
              <w:ind w:right="283"/>
              <w:rPr>
                <w:i/>
              </w:rPr>
            </w:pPr>
            <w:r>
              <w:rPr>
                <w:i/>
              </w:rPr>
              <w:t>Reporting Timeframes</w:t>
            </w:r>
          </w:p>
        </w:tc>
        <w:tc>
          <w:tcPr>
            <w:tcW w:w="3869" w:type="dxa"/>
          </w:tcPr>
          <w:p w14:paraId="1CDB3A92" w14:textId="77777777" w:rsidR="00CF07DA" w:rsidRDefault="00F12602">
            <w:pPr>
              <w:pStyle w:val="TableParagraph"/>
              <w:ind w:left="105" w:right="495"/>
            </w:pPr>
            <w:r>
              <w:t>Major Injury within 24 hours or next business day to DIA.</w:t>
            </w:r>
          </w:p>
        </w:tc>
        <w:tc>
          <w:tcPr>
            <w:tcW w:w="4248" w:type="dxa"/>
          </w:tcPr>
          <w:p w14:paraId="2162B0A2" w14:textId="77777777" w:rsidR="00CF07DA" w:rsidRDefault="00F1260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Major Incident:</w:t>
            </w:r>
          </w:p>
          <w:p w14:paraId="621EF62A" w14:textId="77777777" w:rsidR="00CF07DA" w:rsidRDefault="00F12602">
            <w:pPr>
              <w:pStyle w:val="TableParagraph"/>
              <w:ind w:right="248"/>
            </w:pPr>
            <w:r>
              <w:t xml:space="preserve">By end of next calendar day to supervisor, consumer or legal guardian, DHS Bureau of long-term care, and HCBS case </w:t>
            </w:r>
            <w:r>
              <w:t>manager.</w:t>
            </w:r>
          </w:p>
          <w:p w14:paraId="58D695C1" w14:textId="77777777" w:rsidR="00CF07DA" w:rsidRDefault="00F1260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Minor Incident:</w:t>
            </w:r>
          </w:p>
          <w:p w14:paraId="3B3BE78D" w14:textId="77777777" w:rsidR="00CF07DA" w:rsidRDefault="00F12602">
            <w:pPr>
              <w:pStyle w:val="TableParagraph"/>
              <w:spacing w:before="1"/>
              <w:ind w:right="200"/>
            </w:pPr>
            <w:r>
              <w:t>Reported in any format designated by provider, and submitted to supervisor within</w:t>
            </w:r>
          </w:p>
          <w:p w14:paraId="042EEF48" w14:textId="77777777" w:rsidR="00CF07DA" w:rsidRDefault="00F12602">
            <w:pPr>
              <w:pStyle w:val="TableParagraph"/>
              <w:spacing w:line="241" w:lineRule="exact"/>
            </w:pPr>
            <w:r>
              <w:t>72 hours.</w:t>
            </w:r>
          </w:p>
        </w:tc>
      </w:tr>
      <w:tr w:rsidR="00CF07DA" w14:paraId="5211D7C7" w14:textId="77777777">
        <w:trPr>
          <w:trHeight w:val="4451"/>
        </w:trPr>
        <w:tc>
          <w:tcPr>
            <w:tcW w:w="1459" w:type="dxa"/>
          </w:tcPr>
          <w:p w14:paraId="3045DFFD" w14:textId="77777777" w:rsidR="00CF07DA" w:rsidRDefault="00F12602">
            <w:pPr>
              <w:pStyle w:val="TableParagraph"/>
              <w:spacing w:line="242" w:lineRule="auto"/>
              <w:ind w:right="350"/>
              <w:rPr>
                <w:i/>
              </w:rPr>
            </w:pPr>
            <w:r>
              <w:rPr>
                <w:i/>
              </w:rPr>
              <w:t>Format for reporting</w:t>
            </w:r>
          </w:p>
        </w:tc>
        <w:tc>
          <w:tcPr>
            <w:tcW w:w="3869" w:type="dxa"/>
          </w:tcPr>
          <w:p w14:paraId="03AEC2DB" w14:textId="77777777" w:rsidR="00CF07DA" w:rsidRDefault="00F12602">
            <w:pPr>
              <w:pStyle w:val="TableParagraph"/>
              <w:spacing w:line="242" w:lineRule="auto"/>
              <w:ind w:left="105" w:right="92"/>
            </w:pPr>
            <w:r>
              <w:t xml:space="preserve">DIA Self-Reporting Tool </w:t>
            </w:r>
            <w:hyperlink r:id="rId9">
              <w:r>
                <w:rPr>
                  <w:color w:val="0000FF"/>
                  <w:u w:val="single" w:color="0000FF"/>
                </w:rPr>
                <w:t>https://diahfd.iowa.gov/DIA_HFD/Home</w:t>
              </w:r>
            </w:hyperlink>
          </w:p>
          <w:p w14:paraId="62760C25" w14:textId="77777777" w:rsidR="00CF07DA" w:rsidRDefault="00F12602">
            <w:pPr>
              <w:pStyle w:val="TableParagraph"/>
              <w:spacing w:line="248" w:lineRule="exact"/>
              <w:ind w:left="105"/>
            </w:pPr>
            <w:hyperlink r:id="rId10">
              <w:r>
                <w:rPr>
                  <w:color w:val="0000FF"/>
                  <w:u w:val="single" w:color="0000FF"/>
                </w:rPr>
                <w:t>.do</w:t>
              </w:r>
            </w:hyperlink>
          </w:p>
        </w:tc>
        <w:tc>
          <w:tcPr>
            <w:tcW w:w="4248" w:type="dxa"/>
          </w:tcPr>
          <w:p w14:paraId="65BCD74F" w14:textId="77777777" w:rsidR="00CF07DA" w:rsidRDefault="00F1260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Major Incident:</w:t>
            </w:r>
          </w:p>
          <w:p w14:paraId="189CD2CF" w14:textId="77777777" w:rsidR="00CF07DA" w:rsidRDefault="00F12602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Report these incidences via the Iowa Medicaid Provider Access System</w:t>
            </w:r>
          </w:p>
          <w:p w14:paraId="53501242" w14:textId="77777777" w:rsidR="00CF07DA" w:rsidRDefault="00CF07D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41D95D9F" w14:textId="77777777" w:rsidR="00CF07DA" w:rsidRDefault="00F12602">
            <w:pPr>
              <w:pStyle w:val="TableParagraph"/>
              <w:rPr>
                <w:rFonts w:ascii="Calibri"/>
                <w:sz w:val="23"/>
              </w:rPr>
            </w:pPr>
            <w:hyperlink r:id="rId11">
              <w:r>
                <w:rPr>
                  <w:rFonts w:ascii="Calibri"/>
                  <w:color w:val="0000FF"/>
                  <w:sz w:val="23"/>
                  <w:u w:val="single" w:color="0000FF"/>
                </w:rPr>
                <w:t>https://secureapp.dhs.state.ia.us/impa</w:t>
              </w:r>
            </w:hyperlink>
          </w:p>
          <w:p w14:paraId="4AE968F7" w14:textId="77777777" w:rsidR="00CF07DA" w:rsidRDefault="00CF07D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76C9B27" w14:textId="77777777" w:rsidR="00CF07DA" w:rsidRDefault="00F1260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Minor Incident:</w:t>
            </w:r>
          </w:p>
          <w:p w14:paraId="1C8915B1" w14:textId="77777777" w:rsidR="00CF07DA" w:rsidRDefault="00F12602">
            <w:pPr>
              <w:pStyle w:val="TableParagraph"/>
              <w:ind w:right="139"/>
            </w:pPr>
            <w:r>
              <w:t>May be reported in any format designated by the provider. When a minor incident occurs or a staff member becomes aware of a minor incident, the staff member involved shall submit the completed incident report to the staff member’s supervisor within 72 hour</w:t>
            </w:r>
            <w:r>
              <w:t>s of the incident. The completed report shall be maintained in a centralized file with a notation in the consumer’s file.</w:t>
            </w:r>
          </w:p>
        </w:tc>
      </w:tr>
      <w:tr w:rsidR="00CF07DA" w14:paraId="2B2C5568" w14:textId="77777777">
        <w:trPr>
          <w:trHeight w:val="1770"/>
        </w:trPr>
        <w:tc>
          <w:tcPr>
            <w:tcW w:w="1459" w:type="dxa"/>
          </w:tcPr>
          <w:p w14:paraId="118FDB24" w14:textId="77777777" w:rsidR="00CF07DA" w:rsidRDefault="00F12602">
            <w:pPr>
              <w:pStyle w:val="TableParagraph"/>
              <w:spacing w:line="242" w:lineRule="auto"/>
              <w:ind w:right="142"/>
              <w:rPr>
                <w:i/>
              </w:rPr>
            </w:pPr>
            <w:r>
              <w:rPr>
                <w:i/>
              </w:rPr>
              <w:t>Tracking and analysis</w:t>
            </w:r>
          </w:p>
        </w:tc>
        <w:tc>
          <w:tcPr>
            <w:tcW w:w="3869" w:type="dxa"/>
          </w:tcPr>
          <w:p w14:paraId="56D6B27E" w14:textId="77777777" w:rsidR="00CF07DA" w:rsidRDefault="00F12602">
            <w:pPr>
              <w:pStyle w:val="TableParagraph"/>
              <w:ind w:left="105" w:right="437"/>
              <w:jc w:val="both"/>
            </w:pPr>
            <w:r>
              <w:t>Covered under Nurse review, Service Plans, Evaluation of tenant, and other certification requirements for the AL program in IAC Chapter 481—69.22, 69.26, 69.27</w:t>
            </w:r>
          </w:p>
        </w:tc>
        <w:tc>
          <w:tcPr>
            <w:tcW w:w="4248" w:type="dxa"/>
          </w:tcPr>
          <w:p w14:paraId="058A7161" w14:textId="77777777" w:rsidR="00CF07DA" w:rsidRDefault="00F12602">
            <w:pPr>
              <w:pStyle w:val="TableParagraph"/>
              <w:ind w:right="117"/>
            </w:pPr>
            <w:r>
              <w:t>The provider shall track incident data and analyze trends to assess the health and safety of con</w:t>
            </w:r>
            <w:r>
              <w:t>sumers served and determine if changes need to be made for service implementation or if staff training is needed to reduce the number or severity of incidents.</w:t>
            </w:r>
          </w:p>
        </w:tc>
      </w:tr>
    </w:tbl>
    <w:p w14:paraId="5ED52EFA" w14:textId="77777777" w:rsidR="00000000" w:rsidRDefault="00F12602">
      <w:bookmarkStart w:id="0" w:name="_GoBack"/>
      <w:bookmarkEnd w:id="0"/>
    </w:p>
    <w:sectPr w:rsidR="00000000">
      <w:footerReference w:type="default" r:id="rId12"/>
      <w:pgSz w:w="12240" w:h="15840"/>
      <w:pgMar w:top="1160" w:right="1220" w:bottom="1720" w:left="1220" w:header="0" w:footer="1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4D229" w14:textId="77777777" w:rsidR="00000000" w:rsidRDefault="00F12602">
      <w:r>
        <w:separator/>
      </w:r>
    </w:p>
  </w:endnote>
  <w:endnote w:type="continuationSeparator" w:id="0">
    <w:p w14:paraId="222EF56B" w14:textId="77777777" w:rsidR="00000000" w:rsidRDefault="00F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D863" w14:textId="0B407350" w:rsidR="0076394A" w:rsidRPr="0076394A" w:rsidRDefault="0076394A" w:rsidP="0076394A">
    <w:pPr>
      <w:pStyle w:val="Footer"/>
      <w:rPr>
        <w:rFonts w:ascii="Gotham Book" w:hAnsi="Gotham Book"/>
        <w:sz w:val="18"/>
        <w:szCs w:val="18"/>
      </w:rPr>
    </w:pPr>
    <w:r w:rsidRPr="0076394A">
      <w:rPr>
        <w:rFonts w:ascii="Gotham Book" w:hAnsi="Gotham Book"/>
        <w:sz w:val="18"/>
        <w:szCs w:val="18"/>
      </w:rPr>
      <w:t>Iowa Center for Assisted Living</w:t>
    </w:r>
    <w:r w:rsidRPr="0076394A">
      <w:rPr>
        <w:rFonts w:ascii="Gotham Book" w:hAnsi="Gotham Book"/>
        <w:sz w:val="18"/>
        <w:szCs w:val="18"/>
      </w:rPr>
      <w:tab/>
    </w:r>
    <w:r w:rsidRPr="0076394A">
      <w:rPr>
        <w:rFonts w:ascii="Gotham Book" w:hAnsi="Gotham Book"/>
        <w:sz w:val="18"/>
        <w:szCs w:val="18"/>
      </w:rPr>
      <w:tab/>
      <w:t>201</w:t>
    </w:r>
    <w:r>
      <w:rPr>
        <w:rFonts w:ascii="Gotham Book" w:hAnsi="Gotham Book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8730" w14:textId="3507C2D5" w:rsidR="00CF07DA" w:rsidRPr="0076394A" w:rsidRDefault="0076394A" w:rsidP="0076394A">
    <w:pPr>
      <w:pStyle w:val="Footer"/>
      <w:rPr>
        <w:rFonts w:ascii="Gotham Book" w:hAnsi="Gotham Book"/>
        <w:sz w:val="18"/>
        <w:szCs w:val="18"/>
      </w:rPr>
    </w:pPr>
    <w:r w:rsidRPr="0076394A">
      <w:rPr>
        <w:rFonts w:ascii="Gotham Book" w:hAnsi="Gotham Book"/>
        <w:sz w:val="18"/>
        <w:szCs w:val="18"/>
      </w:rPr>
      <w:t>Iowa Center for Assisted Living</w:t>
    </w:r>
    <w:r w:rsidRPr="0076394A">
      <w:rPr>
        <w:rFonts w:ascii="Gotham Book" w:hAnsi="Gotham Book"/>
        <w:sz w:val="18"/>
        <w:szCs w:val="18"/>
      </w:rPr>
      <w:tab/>
    </w:r>
    <w:r w:rsidRPr="0076394A">
      <w:rPr>
        <w:rFonts w:ascii="Gotham Book" w:hAnsi="Gotham Book"/>
        <w:sz w:val="18"/>
        <w:szCs w:val="18"/>
      </w:rPr>
      <w:tab/>
      <w:t>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783CF" w14:textId="77777777" w:rsidR="00000000" w:rsidRDefault="00F12602">
      <w:r>
        <w:separator/>
      </w:r>
    </w:p>
  </w:footnote>
  <w:footnote w:type="continuationSeparator" w:id="0">
    <w:p w14:paraId="0B315CD5" w14:textId="77777777" w:rsidR="00000000" w:rsidRDefault="00F1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50EB"/>
    <w:multiLevelType w:val="hybridMultilevel"/>
    <w:tmpl w:val="2C96DC46"/>
    <w:lvl w:ilvl="0" w:tplc="0CBAB740">
      <w:start w:val="1"/>
      <w:numFmt w:val="decimal"/>
      <w:lvlText w:val="%1."/>
      <w:lvlJc w:val="left"/>
      <w:pPr>
        <w:ind w:left="357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034B35A">
      <w:numFmt w:val="bullet"/>
      <w:lvlText w:val="•"/>
      <w:lvlJc w:val="left"/>
      <w:pPr>
        <w:ind w:left="709" w:hanging="252"/>
      </w:pPr>
      <w:rPr>
        <w:rFonts w:hint="default"/>
        <w:lang w:val="en-US" w:eastAsia="en-US" w:bidi="en-US"/>
      </w:rPr>
    </w:lvl>
    <w:lvl w:ilvl="2" w:tplc="0A10531A">
      <w:numFmt w:val="bullet"/>
      <w:lvlText w:val="•"/>
      <w:lvlJc w:val="left"/>
      <w:pPr>
        <w:ind w:left="1059" w:hanging="252"/>
      </w:pPr>
      <w:rPr>
        <w:rFonts w:hint="default"/>
        <w:lang w:val="en-US" w:eastAsia="en-US" w:bidi="en-US"/>
      </w:rPr>
    </w:lvl>
    <w:lvl w:ilvl="3" w:tplc="73481CF6">
      <w:numFmt w:val="bullet"/>
      <w:lvlText w:val="•"/>
      <w:lvlJc w:val="left"/>
      <w:pPr>
        <w:ind w:left="1409" w:hanging="252"/>
      </w:pPr>
      <w:rPr>
        <w:rFonts w:hint="default"/>
        <w:lang w:val="en-US" w:eastAsia="en-US" w:bidi="en-US"/>
      </w:rPr>
    </w:lvl>
    <w:lvl w:ilvl="4" w:tplc="901AAF14">
      <w:numFmt w:val="bullet"/>
      <w:lvlText w:val="•"/>
      <w:lvlJc w:val="left"/>
      <w:pPr>
        <w:ind w:left="1759" w:hanging="252"/>
      </w:pPr>
      <w:rPr>
        <w:rFonts w:hint="default"/>
        <w:lang w:val="en-US" w:eastAsia="en-US" w:bidi="en-US"/>
      </w:rPr>
    </w:lvl>
    <w:lvl w:ilvl="5" w:tplc="12DCD948">
      <w:numFmt w:val="bullet"/>
      <w:lvlText w:val="•"/>
      <w:lvlJc w:val="left"/>
      <w:pPr>
        <w:ind w:left="2109" w:hanging="252"/>
      </w:pPr>
      <w:rPr>
        <w:rFonts w:hint="default"/>
        <w:lang w:val="en-US" w:eastAsia="en-US" w:bidi="en-US"/>
      </w:rPr>
    </w:lvl>
    <w:lvl w:ilvl="6" w:tplc="2B829256">
      <w:numFmt w:val="bullet"/>
      <w:lvlText w:val="•"/>
      <w:lvlJc w:val="left"/>
      <w:pPr>
        <w:ind w:left="2459" w:hanging="252"/>
      </w:pPr>
      <w:rPr>
        <w:rFonts w:hint="default"/>
        <w:lang w:val="en-US" w:eastAsia="en-US" w:bidi="en-US"/>
      </w:rPr>
    </w:lvl>
    <w:lvl w:ilvl="7" w:tplc="9788EA8A">
      <w:numFmt w:val="bullet"/>
      <w:lvlText w:val="•"/>
      <w:lvlJc w:val="left"/>
      <w:pPr>
        <w:ind w:left="2809" w:hanging="252"/>
      </w:pPr>
      <w:rPr>
        <w:rFonts w:hint="default"/>
        <w:lang w:val="en-US" w:eastAsia="en-US" w:bidi="en-US"/>
      </w:rPr>
    </w:lvl>
    <w:lvl w:ilvl="8" w:tplc="35A8E7F4">
      <w:numFmt w:val="bullet"/>
      <w:lvlText w:val="•"/>
      <w:lvlJc w:val="left"/>
      <w:pPr>
        <w:ind w:left="3159" w:hanging="252"/>
      </w:pPr>
      <w:rPr>
        <w:rFonts w:hint="default"/>
        <w:lang w:val="en-US" w:eastAsia="en-US" w:bidi="en-US"/>
      </w:rPr>
    </w:lvl>
  </w:abstractNum>
  <w:abstractNum w:abstractNumId="1" w15:restartNumberingAfterBreak="0">
    <w:nsid w:val="122B305B"/>
    <w:multiLevelType w:val="hybridMultilevel"/>
    <w:tmpl w:val="B7027C80"/>
    <w:lvl w:ilvl="0" w:tplc="C4BACABA">
      <w:start w:val="1"/>
      <w:numFmt w:val="decimal"/>
      <w:lvlText w:val="%1."/>
      <w:lvlJc w:val="left"/>
      <w:pPr>
        <w:ind w:left="359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988ED6A">
      <w:numFmt w:val="bullet"/>
      <w:lvlText w:val="•"/>
      <w:lvlJc w:val="left"/>
      <w:pPr>
        <w:ind w:left="747" w:hanging="252"/>
      </w:pPr>
      <w:rPr>
        <w:rFonts w:hint="default"/>
        <w:lang w:val="en-US" w:eastAsia="en-US" w:bidi="en-US"/>
      </w:rPr>
    </w:lvl>
    <w:lvl w:ilvl="2" w:tplc="9FFC2D9A">
      <w:numFmt w:val="bullet"/>
      <w:lvlText w:val="•"/>
      <w:lvlJc w:val="left"/>
      <w:pPr>
        <w:ind w:left="1135" w:hanging="252"/>
      </w:pPr>
      <w:rPr>
        <w:rFonts w:hint="default"/>
        <w:lang w:val="en-US" w:eastAsia="en-US" w:bidi="en-US"/>
      </w:rPr>
    </w:lvl>
    <w:lvl w:ilvl="3" w:tplc="CFEC466A">
      <w:numFmt w:val="bullet"/>
      <w:lvlText w:val="•"/>
      <w:lvlJc w:val="left"/>
      <w:pPr>
        <w:ind w:left="1523" w:hanging="252"/>
      </w:pPr>
      <w:rPr>
        <w:rFonts w:hint="default"/>
        <w:lang w:val="en-US" w:eastAsia="en-US" w:bidi="en-US"/>
      </w:rPr>
    </w:lvl>
    <w:lvl w:ilvl="4" w:tplc="C0341298">
      <w:numFmt w:val="bullet"/>
      <w:lvlText w:val="•"/>
      <w:lvlJc w:val="left"/>
      <w:pPr>
        <w:ind w:left="1911" w:hanging="252"/>
      </w:pPr>
      <w:rPr>
        <w:rFonts w:hint="default"/>
        <w:lang w:val="en-US" w:eastAsia="en-US" w:bidi="en-US"/>
      </w:rPr>
    </w:lvl>
    <w:lvl w:ilvl="5" w:tplc="B678C526">
      <w:numFmt w:val="bullet"/>
      <w:lvlText w:val="•"/>
      <w:lvlJc w:val="left"/>
      <w:pPr>
        <w:ind w:left="2299" w:hanging="252"/>
      </w:pPr>
      <w:rPr>
        <w:rFonts w:hint="default"/>
        <w:lang w:val="en-US" w:eastAsia="en-US" w:bidi="en-US"/>
      </w:rPr>
    </w:lvl>
    <w:lvl w:ilvl="6" w:tplc="D6065934">
      <w:numFmt w:val="bullet"/>
      <w:lvlText w:val="•"/>
      <w:lvlJc w:val="left"/>
      <w:pPr>
        <w:ind w:left="2686" w:hanging="252"/>
      </w:pPr>
      <w:rPr>
        <w:rFonts w:hint="default"/>
        <w:lang w:val="en-US" w:eastAsia="en-US" w:bidi="en-US"/>
      </w:rPr>
    </w:lvl>
    <w:lvl w:ilvl="7" w:tplc="A2481D8A">
      <w:numFmt w:val="bullet"/>
      <w:lvlText w:val="•"/>
      <w:lvlJc w:val="left"/>
      <w:pPr>
        <w:ind w:left="3074" w:hanging="252"/>
      </w:pPr>
      <w:rPr>
        <w:rFonts w:hint="default"/>
        <w:lang w:val="en-US" w:eastAsia="en-US" w:bidi="en-US"/>
      </w:rPr>
    </w:lvl>
    <w:lvl w:ilvl="8" w:tplc="A7281282">
      <w:numFmt w:val="bullet"/>
      <w:lvlText w:val="•"/>
      <w:lvlJc w:val="left"/>
      <w:pPr>
        <w:ind w:left="3462" w:hanging="252"/>
      </w:pPr>
      <w:rPr>
        <w:rFonts w:hint="default"/>
        <w:lang w:val="en-US" w:eastAsia="en-US" w:bidi="en-US"/>
      </w:rPr>
    </w:lvl>
  </w:abstractNum>
  <w:abstractNum w:abstractNumId="2" w15:restartNumberingAfterBreak="0">
    <w:nsid w:val="2D6246D4"/>
    <w:multiLevelType w:val="hybridMultilevel"/>
    <w:tmpl w:val="E40A08E2"/>
    <w:lvl w:ilvl="0" w:tplc="27AC7904">
      <w:start w:val="1"/>
      <w:numFmt w:val="decimal"/>
      <w:lvlText w:val="%1."/>
      <w:lvlJc w:val="left"/>
      <w:pPr>
        <w:ind w:left="357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53C16D2">
      <w:numFmt w:val="bullet"/>
      <w:lvlText w:val="•"/>
      <w:lvlJc w:val="left"/>
      <w:pPr>
        <w:ind w:left="709" w:hanging="252"/>
      </w:pPr>
      <w:rPr>
        <w:rFonts w:hint="default"/>
        <w:lang w:val="en-US" w:eastAsia="en-US" w:bidi="en-US"/>
      </w:rPr>
    </w:lvl>
    <w:lvl w:ilvl="2" w:tplc="F4D65926">
      <w:numFmt w:val="bullet"/>
      <w:lvlText w:val="•"/>
      <w:lvlJc w:val="left"/>
      <w:pPr>
        <w:ind w:left="1059" w:hanging="252"/>
      </w:pPr>
      <w:rPr>
        <w:rFonts w:hint="default"/>
        <w:lang w:val="en-US" w:eastAsia="en-US" w:bidi="en-US"/>
      </w:rPr>
    </w:lvl>
    <w:lvl w:ilvl="3" w:tplc="907692D4">
      <w:numFmt w:val="bullet"/>
      <w:lvlText w:val="•"/>
      <w:lvlJc w:val="left"/>
      <w:pPr>
        <w:ind w:left="1409" w:hanging="252"/>
      </w:pPr>
      <w:rPr>
        <w:rFonts w:hint="default"/>
        <w:lang w:val="en-US" w:eastAsia="en-US" w:bidi="en-US"/>
      </w:rPr>
    </w:lvl>
    <w:lvl w:ilvl="4" w:tplc="639607DE">
      <w:numFmt w:val="bullet"/>
      <w:lvlText w:val="•"/>
      <w:lvlJc w:val="left"/>
      <w:pPr>
        <w:ind w:left="1759" w:hanging="252"/>
      </w:pPr>
      <w:rPr>
        <w:rFonts w:hint="default"/>
        <w:lang w:val="en-US" w:eastAsia="en-US" w:bidi="en-US"/>
      </w:rPr>
    </w:lvl>
    <w:lvl w:ilvl="5" w:tplc="3C5AAA76">
      <w:numFmt w:val="bullet"/>
      <w:lvlText w:val="•"/>
      <w:lvlJc w:val="left"/>
      <w:pPr>
        <w:ind w:left="2109" w:hanging="252"/>
      </w:pPr>
      <w:rPr>
        <w:rFonts w:hint="default"/>
        <w:lang w:val="en-US" w:eastAsia="en-US" w:bidi="en-US"/>
      </w:rPr>
    </w:lvl>
    <w:lvl w:ilvl="6" w:tplc="125008C0">
      <w:numFmt w:val="bullet"/>
      <w:lvlText w:val="•"/>
      <w:lvlJc w:val="left"/>
      <w:pPr>
        <w:ind w:left="2459" w:hanging="252"/>
      </w:pPr>
      <w:rPr>
        <w:rFonts w:hint="default"/>
        <w:lang w:val="en-US" w:eastAsia="en-US" w:bidi="en-US"/>
      </w:rPr>
    </w:lvl>
    <w:lvl w:ilvl="7" w:tplc="F604932A">
      <w:numFmt w:val="bullet"/>
      <w:lvlText w:val="•"/>
      <w:lvlJc w:val="left"/>
      <w:pPr>
        <w:ind w:left="2809" w:hanging="252"/>
      </w:pPr>
      <w:rPr>
        <w:rFonts w:hint="default"/>
        <w:lang w:val="en-US" w:eastAsia="en-US" w:bidi="en-US"/>
      </w:rPr>
    </w:lvl>
    <w:lvl w:ilvl="8" w:tplc="194C027A">
      <w:numFmt w:val="bullet"/>
      <w:lvlText w:val="•"/>
      <w:lvlJc w:val="left"/>
      <w:pPr>
        <w:ind w:left="3159" w:hanging="252"/>
      </w:pPr>
      <w:rPr>
        <w:rFonts w:hint="default"/>
        <w:lang w:val="en-US" w:eastAsia="en-US" w:bidi="en-US"/>
      </w:rPr>
    </w:lvl>
  </w:abstractNum>
  <w:abstractNum w:abstractNumId="3" w15:restartNumberingAfterBreak="0">
    <w:nsid w:val="3818369F"/>
    <w:multiLevelType w:val="hybridMultilevel"/>
    <w:tmpl w:val="6E0E7894"/>
    <w:lvl w:ilvl="0" w:tplc="3F061C6E">
      <w:start w:val="1"/>
      <w:numFmt w:val="decimal"/>
      <w:lvlText w:val="%1."/>
      <w:lvlJc w:val="left"/>
      <w:pPr>
        <w:ind w:left="357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52E6AC4">
      <w:numFmt w:val="bullet"/>
      <w:lvlText w:val="•"/>
      <w:lvlJc w:val="left"/>
      <w:pPr>
        <w:ind w:left="709" w:hanging="252"/>
      </w:pPr>
      <w:rPr>
        <w:rFonts w:hint="default"/>
        <w:lang w:val="en-US" w:eastAsia="en-US" w:bidi="en-US"/>
      </w:rPr>
    </w:lvl>
    <w:lvl w:ilvl="2" w:tplc="8024527A">
      <w:numFmt w:val="bullet"/>
      <w:lvlText w:val="•"/>
      <w:lvlJc w:val="left"/>
      <w:pPr>
        <w:ind w:left="1059" w:hanging="252"/>
      </w:pPr>
      <w:rPr>
        <w:rFonts w:hint="default"/>
        <w:lang w:val="en-US" w:eastAsia="en-US" w:bidi="en-US"/>
      </w:rPr>
    </w:lvl>
    <w:lvl w:ilvl="3" w:tplc="8104EF48">
      <w:numFmt w:val="bullet"/>
      <w:lvlText w:val="•"/>
      <w:lvlJc w:val="left"/>
      <w:pPr>
        <w:ind w:left="1409" w:hanging="252"/>
      </w:pPr>
      <w:rPr>
        <w:rFonts w:hint="default"/>
        <w:lang w:val="en-US" w:eastAsia="en-US" w:bidi="en-US"/>
      </w:rPr>
    </w:lvl>
    <w:lvl w:ilvl="4" w:tplc="3348B56A">
      <w:numFmt w:val="bullet"/>
      <w:lvlText w:val="•"/>
      <w:lvlJc w:val="left"/>
      <w:pPr>
        <w:ind w:left="1759" w:hanging="252"/>
      </w:pPr>
      <w:rPr>
        <w:rFonts w:hint="default"/>
        <w:lang w:val="en-US" w:eastAsia="en-US" w:bidi="en-US"/>
      </w:rPr>
    </w:lvl>
    <w:lvl w:ilvl="5" w:tplc="426ED822">
      <w:numFmt w:val="bullet"/>
      <w:lvlText w:val="•"/>
      <w:lvlJc w:val="left"/>
      <w:pPr>
        <w:ind w:left="2109" w:hanging="252"/>
      </w:pPr>
      <w:rPr>
        <w:rFonts w:hint="default"/>
        <w:lang w:val="en-US" w:eastAsia="en-US" w:bidi="en-US"/>
      </w:rPr>
    </w:lvl>
    <w:lvl w:ilvl="6" w:tplc="1854B8E4">
      <w:numFmt w:val="bullet"/>
      <w:lvlText w:val="•"/>
      <w:lvlJc w:val="left"/>
      <w:pPr>
        <w:ind w:left="2459" w:hanging="252"/>
      </w:pPr>
      <w:rPr>
        <w:rFonts w:hint="default"/>
        <w:lang w:val="en-US" w:eastAsia="en-US" w:bidi="en-US"/>
      </w:rPr>
    </w:lvl>
    <w:lvl w:ilvl="7" w:tplc="7C822D2C">
      <w:numFmt w:val="bullet"/>
      <w:lvlText w:val="•"/>
      <w:lvlJc w:val="left"/>
      <w:pPr>
        <w:ind w:left="2809" w:hanging="252"/>
      </w:pPr>
      <w:rPr>
        <w:rFonts w:hint="default"/>
        <w:lang w:val="en-US" w:eastAsia="en-US" w:bidi="en-US"/>
      </w:rPr>
    </w:lvl>
    <w:lvl w:ilvl="8" w:tplc="693ECDF2">
      <w:numFmt w:val="bullet"/>
      <w:lvlText w:val="•"/>
      <w:lvlJc w:val="left"/>
      <w:pPr>
        <w:ind w:left="3159" w:hanging="252"/>
      </w:pPr>
      <w:rPr>
        <w:rFonts w:hint="default"/>
        <w:lang w:val="en-US" w:eastAsia="en-US" w:bidi="en-US"/>
      </w:rPr>
    </w:lvl>
  </w:abstractNum>
  <w:abstractNum w:abstractNumId="4" w15:restartNumberingAfterBreak="0">
    <w:nsid w:val="5DA433A2"/>
    <w:multiLevelType w:val="hybridMultilevel"/>
    <w:tmpl w:val="F5A0C45C"/>
    <w:lvl w:ilvl="0" w:tplc="75D62E96">
      <w:start w:val="1"/>
      <w:numFmt w:val="decimal"/>
      <w:lvlText w:val="%1."/>
      <w:lvlJc w:val="left"/>
      <w:pPr>
        <w:ind w:left="359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9206FD2">
      <w:numFmt w:val="bullet"/>
      <w:lvlText w:val="•"/>
      <w:lvlJc w:val="left"/>
      <w:pPr>
        <w:ind w:left="747" w:hanging="252"/>
      </w:pPr>
      <w:rPr>
        <w:rFonts w:hint="default"/>
        <w:lang w:val="en-US" w:eastAsia="en-US" w:bidi="en-US"/>
      </w:rPr>
    </w:lvl>
    <w:lvl w:ilvl="2" w:tplc="3454C530">
      <w:numFmt w:val="bullet"/>
      <w:lvlText w:val="•"/>
      <w:lvlJc w:val="left"/>
      <w:pPr>
        <w:ind w:left="1135" w:hanging="252"/>
      </w:pPr>
      <w:rPr>
        <w:rFonts w:hint="default"/>
        <w:lang w:val="en-US" w:eastAsia="en-US" w:bidi="en-US"/>
      </w:rPr>
    </w:lvl>
    <w:lvl w:ilvl="3" w:tplc="5192DF60">
      <w:numFmt w:val="bullet"/>
      <w:lvlText w:val="•"/>
      <w:lvlJc w:val="left"/>
      <w:pPr>
        <w:ind w:left="1523" w:hanging="252"/>
      </w:pPr>
      <w:rPr>
        <w:rFonts w:hint="default"/>
        <w:lang w:val="en-US" w:eastAsia="en-US" w:bidi="en-US"/>
      </w:rPr>
    </w:lvl>
    <w:lvl w:ilvl="4" w:tplc="04E8B792">
      <w:numFmt w:val="bullet"/>
      <w:lvlText w:val="•"/>
      <w:lvlJc w:val="left"/>
      <w:pPr>
        <w:ind w:left="1911" w:hanging="252"/>
      </w:pPr>
      <w:rPr>
        <w:rFonts w:hint="default"/>
        <w:lang w:val="en-US" w:eastAsia="en-US" w:bidi="en-US"/>
      </w:rPr>
    </w:lvl>
    <w:lvl w:ilvl="5" w:tplc="E856B1DE">
      <w:numFmt w:val="bullet"/>
      <w:lvlText w:val="•"/>
      <w:lvlJc w:val="left"/>
      <w:pPr>
        <w:ind w:left="2299" w:hanging="252"/>
      </w:pPr>
      <w:rPr>
        <w:rFonts w:hint="default"/>
        <w:lang w:val="en-US" w:eastAsia="en-US" w:bidi="en-US"/>
      </w:rPr>
    </w:lvl>
    <w:lvl w:ilvl="6" w:tplc="1CE61252">
      <w:numFmt w:val="bullet"/>
      <w:lvlText w:val="•"/>
      <w:lvlJc w:val="left"/>
      <w:pPr>
        <w:ind w:left="2686" w:hanging="252"/>
      </w:pPr>
      <w:rPr>
        <w:rFonts w:hint="default"/>
        <w:lang w:val="en-US" w:eastAsia="en-US" w:bidi="en-US"/>
      </w:rPr>
    </w:lvl>
    <w:lvl w:ilvl="7" w:tplc="40C2A428">
      <w:numFmt w:val="bullet"/>
      <w:lvlText w:val="•"/>
      <w:lvlJc w:val="left"/>
      <w:pPr>
        <w:ind w:left="3074" w:hanging="252"/>
      </w:pPr>
      <w:rPr>
        <w:rFonts w:hint="default"/>
        <w:lang w:val="en-US" w:eastAsia="en-US" w:bidi="en-US"/>
      </w:rPr>
    </w:lvl>
    <w:lvl w:ilvl="8" w:tplc="1B48EB44">
      <w:numFmt w:val="bullet"/>
      <w:lvlText w:val="•"/>
      <w:lvlJc w:val="left"/>
      <w:pPr>
        <w:ind w:left="3462" w:hanging="25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DA"/>
    <w:rsid w:val="0076394A"/>
    <w:rsid w:val="00CF07DA"/>
    <w:rsid w:val="00F12602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1276E4B"/>
  <w15:docId w15:val="{A52B9DC1-6ECB-475D-849C-5ED04320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63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94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3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4A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0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app.dhs.state.ia.us/imp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ahfd.iowa.gov/DIA_HFD/Home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hfd.iowa.gov/DIA_HFD/Home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Baddeloo</dc:creator>
  <cp:lastModifiedBy>Lori Ristau</cp:lastModifiedBy>
  <cp:revision>2</cp:revision>
  <dcterms:created xsi:type="dcterms:W3CDTF">2019-03-12T14:12:00Z</dcterms:created>
  <dcterms:modified xsi:type="dcterms:W3CDTF">2019-03-12T14:12:00Z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2019-03-12T00:00:00Z</vt:filetime>
  </property>
</Properties>
</file>