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42C3" w14:textId="77777777" w:rsidR="008E4715" w:rsidRPr="008E4715" w:rsidRDefault="008E4715" w:rsidP="00936F56">
      <w:pPr>
        <w:pStyle w:val="PlainText"/>
        <w:jc w:val="center"/>
        <w:rPr>
          <w:rFonts w:ascii="Sentinel" w:hAnsi="Sentinel"/>
          <w:b/>
        </w:rPr>
      </w:pPr>
      <w:r w:rsidRPr="008E4715">
        <w:rPr>
          <w:rFonts w:ascii="Sentinel" w:eastAsia="Times New Roman" w:hAnsi="Sentinel"/>
          <w:b/>
          <w:noProof/>
          <w:sz w:val="24"/>
          <w:szCs w:val="24"/>
        </w:rPr>
        <w:drawing>
          <wp:inline distT="0" distB="0" distL="0" distR="0" wp14:anchorId="0B37F01C" wp14:editId="7C03175E">
            <wp:extent cx="2016690" cy="1382054"/>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207" cy="1398170"/>
                    </a:xfrm>
                    <a:prstGeom prst="rect">
                      <a:avLst/>
                    </a:prstGeom>
                  </pic:spPr>
                </pic:pic>
              </a:graphicData>
            </a:graphic>
          </wp:inline>
        </w:drawing>
      </w:r>
    </w:p>
    <w:p w14:paraId="2A722D59" w14:textId="77777777" w:rsidR="008E4715" w:rsidRPr="008E4715" w:rsidRDefault="008E4715" w:rsidP="004775E5">
      <w:pPr>
        <w:pStyle w:val="PlainText"/>
        <w:rPr>
          <w:rFonts w:ascii="Sentinel" w:hAnsi="Sentinel"/>
          <w:b/>
        </w:rPr>
      </w:pPr>
    </w:p>
    <w:p w14:paraId="70CCDAA8" w14:textId="53CB7F99" w:rsidR="00936F56" w:rsidRDefault="00936F56" w:rsidP="00936F56">
      <w:pPr>
        <w:pStyle w:val="PlainText"/>
        <w:jc w:val="center"/>
        <w:rPr>
          <w:rFonts w:ascii="Gotham Bold" w:hAnsi="Gotham Bold"/>
          <w:sz w:val="28"/>
        </w:rPr>
      </w:pPr>
      <w:r>
        <w:rPr>
          <w:rFonts w:ascii="Gotham Bold" w:hAnsi="Gotham Bold"/>
          <w:sz w:val="28"/>
        </w:rPr>
        <w:t>Nursing Facility</w:t>
      </w:r>
    </w:p>
    <w:p w14:paraId="40EAE9D2" w14:textId="2F871990" w:rsidR="00936F56" w:rsidRDefault="00936F56" w:rsidP="00936F56">
      <w:pPr>
        <w:pStyle w:val="PlainText"/>
        <w:jc w:val="center"/>
        <w:rPr>
          <w:rFonts w:ascii="Gotham Bold" w:hAnsi="Gotham Bold"/>
          <w:sz w:val="28"/>
        </w:rPr>
      </w:pPr>
      <w:r>
        <w:rPr>
          <w:rFonts w:ascii="Gotham Bold" w:hAnsi="Gotham Bold"/>
          <w:sz w:val="28"/>
        </w:rPr>
        <w:t xml:space="preserve">Sexual Relationships Between Residents </w:t>
      </w:r>
      <w:proofErr w:type="gramStart"/>
      <w:r>
        <w:rPr>
          <w:rFonts w:ascii="Gotham Bold" w:hAnsi="Gotham Bold"/>
          <w:sz w:val="28"/>
        </w:rPr>
        <w:t>With</w:t>
      </w:r>
      <w:proofErr w:type="gramEnd"/>
      <w:r>
        <w:rPr>
          <w:rFonts w:ascii="Gotham Bold" w:hAnsi="Gotham Bold"/>
          <w:sz w:val="28"/>
        </w:rPr>
        <w:t xml:space="preserve"> Cognitive Impairment</w:t>
      </w:r>
    </w:p>
    <w:p w14:paraId="087E2FB2" w14:textId="77777777" w:rsidR="004775E5" w:rsidRPr="008E4715" w:rsidRDefault="004775E5" w:rsidP="004775E5">
      <w:pPr>
        <w:pStyle w:val="PlainText"/>
        <w:rPr>
          <w:rFonts w:ascii="Sentinel" w:hAnsi="Sentinel"/>
        </w:rPr>
      </w:pPr>
    </w:p>
    <w:p w14:paraId="6BF86D71" w14:textId="77777777" w:rsidR="004775E5" w:rsidRPr="00253BE3" w:rsidRDefault="004775E5" w:rsidP="004775E5">
      <w:pPr>
        <w:pStyle w:val="PlainText"/>
        <w:rPr>
          <w:rFonts w:ascii="Gotham Bold" w:hAnsi="Gotham Bold"/>
        </w:rPr>
      </w:pPr>
      <w:r w:rsidRPr="00253BE3">
        <w:rPr>
          <w:rFonts w:ascii="Gotham Bold" w:hAnsi="Gotham Bold"/>
        </w:rPr>
        <w:t>POLICY</w:t>
      </w:r>
    </w:p>
    <w:p w14:paraId="348B8794" w14:textId="77777777" w:rsidR="004775E5" w:rsidRPr="008E4715" w:rsidRDefault="004775E5" w:rsidP="004775E5">
      <w:pPr>
        <w:pStyle w:val="PlainText"/>
        <w:rPr>
          <w:rFonts w:ascii="Sentinel" w:hAnsi="Sentinel"/>
        </w:rPr>
      </w:pPr>
      <w:r w:rsidRPr="008E4715">
        <w:rPr>
          <w:rFonts w:ascii="Sentinel" w:hAnsi="Sentinel"/>
        </w:rPr>
        <w:t>To address sexual relationships with individuals with cognitive impairment.</w:t>
      </w:r>
    </w:p>
    <w:p w14:paraId="67DD1899" w14:textId="77777777" w:rsidR="004775E5" w:rsidRPr="008E4715" w:rsidRDefault="004775E5" w:rsidP="004775E5">
      <w:pPr>
        <w:pStyle w:val="PlainText"/>
        <w:rPr>
          <w:rFonts w:ascii="Sentinel" w:hAnsi="Sentinel"/>
        </w:rPr>
      </w:pPr>
    </w:p>
    <w:p w14:paraId="28058BA3" w14:textId="77777777" w:rsidR="004775E5" w:rsidRPr="00253BE3" w:rsidRDefault="004775E5" w:rsidP="004775E5">
      <w:pPr>
        <w:pStyle w:val="PlainText"/>
        <w:rPr>
          <w:rFonts w:ascii="Gotham Bold" w:hAnsi="Gotham Bold"/>
        </w:rPr>
      </w:pPr>
      <w:r w:rsidRPr="00253BE3">
        <w:rPr>
          <w:rFonts w:ascii="Gotham Bold" w:hAnsi="Gotham Bold"/>
        </w:rPr>
        <w:t>PURPOSE</w:t>
      </w:r>
    </w:p>
    <w:p w14:paraId="77CAAED3" w14:textId="77777777" w:rsidR="004775E5" w:rsidRPr="008E4715" w:rsidRDefault="004775E5" w:rsidP="004775E5">
      <w:pPr>
        <w:pStyle w:val="PlainText"/>
        <w:rPr>
          <w:rFonts w:ascii="Sentinel" w:hAnsi="Sentinel"/>
        </w:rPr>
      </w:pPr>
      <w:r w:rsidRPr="008E4715">
        <w:rPr>
          <w:rFonts w:ascii="Sentinel" w:hAnsi="Sentinel"/>
        </w:rPr>
        <w:t>To protect individuals with cognitive impairment who are unable to consent from unwanted sexual relationships.</w:t>
      </w:r>
    </w:p>
    <w:p w14:paraId="35A1C0DA" w14:textId="77777777" w:rsidR="004775E5" w:rsidRPr="00253BE3" w:rsidRDefault="004775E5" w:rsidP="004775E5">
      <w:pPr>
        <w:pStyle w:val="PlainText"/>
        <w:rPr>
          <w:rFonts w:ascii="Gotham Bold" w:hAnsi="Gotham Bold"/>
        </w:rPr>
      </w:pPr>
    </w:p>
    <w:p w14:paraId="197029C3" w14:textId="77777777" w:rsidR="004775E5" w:rsidRPr="00253BE3" w:rsidRDefault="004775E5" w:rsidP="004775E5">
      <w:pPr>
        <w:pStyle w:val="PlainText"/>
        <w:rPr>
          <w:rFonts w:ascii="Gotham Bold" w:hAnsi="Gotham Bold"/>
        </w:rPr>
      </w:pPr>
      <w:r w:rsidRPr="00253BE3">
        <w:rPr>
          <w:rFonts w:ascii="Gotham Bold" w:hAnsi="Gotham Bold"/>
        </w:rPr>
        <w:t>PROCEDURE</w:t>
      </w:r>
    </w:p>
    <w:p w14:paraId="7EFEEB03"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1.    Cognitive impairment for purposes of this section would be considered those </w:t>
      </w:r>
      <w:r w:rsidR="0063581F" w:rsidRPr="008E4715">
        <w:rPr>
          <w:rFonts w:ascii="Sentinel" w:hAnsi="Sentinel"/>
        </w:rPr>
        <w:t>resident</w:t>
      </w:r>
      <w:r w:rsidRPr="008E4715">
        <w:rPr>
          <w:rFonts w:ascii="Sentinel" w:hAnsi="Sentinel"/>
        </w:rPr>
        <w:t xml:space="preserve">s with a </w:t>
      </w:r>
      <w:r w:rsidR="0063581F" w:rsidRPr="008E4715">
        <w:rPr>
          <w:rFonts w:ascii="Sentinel" w:hAnsi="Sentinel"/>
        </w:rPr>
        <w:t xml:space="preserve">BIMS </w:t>
      </w:r>
      <w:r w:rsidRPr="008E4715">
        <w:rPr>
          <w:rFonts w:ascii="Sentinel" w:hAnsi="Sentinel"/>
        </w:rPr>
        <w:t xml:space="preserve">score of </w:t>
      </w:r>
      <w:r w:rsidR="0063581F" w:rsidRPr="008E4715">
        <w:rPr>
          <w:rFonts w:ascii="Sentinel" w:hAnsi="Sentinel"/>
        </w:rPr>
        <w:t>12 or below</w:t>
      </w:r>
      <w:r w:rsidRPr="008E4715">
        <w:rPr>
          <w:rFonts w:ascii="Sentinel" w:hAnsi="Sentinel"/>
        </w:rPr>
        <w:t>.</w:t>
      </w:r>
    </w:p>
    <w:p w14:paraId="148AD5BE" w14:textId="77777777" w:rsidR="004775E5" w:rsidRPr="008E4715" w:rsidRDefault="004775E5" w:rsidP="00253BE3">
      <w:pPr>
        <w:pStyle w:val="PlainText"/>
        <w:ind w:left="360" w:hanging="360"/>
        <w:rPr>
          <w:rFonts w:ascii="Sentinel" w:hAnsi="Sentinel"/>
        </w:rPr>
      </w:pPr>
    </w:p>
    <w:p w14:paraId="2D36930C" w14:textId="77777777" w:rsidR="00201974" w:rsidRPr="008E4715" w:rsidRDefault="004775E5" w:rsidP="00253BE3">
      <w:pPr>
        <w:pStyle w:val="PlainText"/>
        <w:ind w:left="360" w:hanging="360"/>
        <w:rPr>
          <w:rFonts w:ascii="Sentinel" w:hAnsi="Sentinel"/>
        </w:rPr>
      </w:pPr>
      <w:r w:rsidRPr="008E4715">
        <w:rPr>
          <w:rFonts w:ascii="Sentinel" w:hAnsi="Sentinel"/>
        </w:rPr>
        <w:t xml:space="preserve">2.    If individuals with cognitive impairment have been identified as engaging in a sexual relationship, the </w:t>
      </w:r>
      <w:r w:rsidR="0063581F" w:rsidRPr="008E4715">
        <w:rPr>
          <w:rFonts w:ascii="Sentinel" w:hAnsi="Sentinel"/>
        </w:rPr>
        <w:t>resident</w:t>
      </w:r>
      <w:r w:rsidRPr="008E4715">
        <w:rPr>
          <w:rFonts w:ascii="Sentinel" w:hAnsi="Sentinel"/>
        </w:rPr>
        <w:t>s will be assessed by the nurse for the capacity to consent for sexual relationship</w:t>
      </w:r>
      <w:r w:rsidR="00201974" w:rsidRPr="008E4715">
        <w:rPr>
          <w:rFonts w:ascii="Sentinel" w:hAnsi="Sentinel"/>
        </w:rPr>
        <w:t xml:space="preserve"> using the </w:t>
      </w:r>
      <w:hyperlink r:id="rId7" w:history="1">
        <w:r w:rsidR="00201974" w:rsidRPr="008E4715">
          <w:rPr>
            <w:rStyle w:val="Hyperlink"/>
            <w:rFonts w:ascii="Sentinel" w:hAnsi="Sentinel"/>
          </w:rPr>
          <w:t>“Verbal Informed Sexual Consent Assessment Tool.”</w:t>
        </w:r>
      </w:hyperlink>
    </w:p>
    <w:p w14:paraId="21B3EF9B" w14:textId="77777777" w:rsidR="00201974" w:rsidRPr="008E4715" w:rsidRDefault="00201974" w:rsidP="004775E5">
      <w:pPr>
        <w:pStyle w:val="PlainText"/>
        <w:rPr>
          <w:rFonts w:ascii="Sentinel" w:hAnsi="Sentinel"/>
        </w:rPr>
      </w:pPr>
      <w:r w:rsidRPr="008E4715">
        <w:rPr>
          <w:rFonts w:ascii="Sentinel" w:hAnsi="Sentinel"/>
        </w:rPr>
        <w:tab/>
      </w:r>
    </w:p>
    <w:p w14:paraId="0EFBC249" w14:textId="77777777" w:rsidR="00201974" w:rsidRPr="008E4715" w:rsidRDefault="00201974" w:rsidP="004775E5">
      <w:pPr>
        <w:pStyle w:val="PlainText"/>
        <w:rPr>
          <w:rFonts w:ascii="Sentinel" w:hAnsi="Sentinel"/>
        </w:rPr>
      </w:pPr>
      <w:r w:rsidRPr="008E4715">
        <w:rPr>
          <w:rFonts w:ascii="Sentinel" w:hAnsi="Sentinel"/>
        </w:rPr>
        <w:t>Other factors to considering in making the decision include:</w:t>
      </w:r>
    </w:p>
    <w:p w14:paraId="6B592E1A" w14:textId="77777777" w:rsidR="00201974" w:rsidRPr="008E4715" w:rsidRDefault="00201974" w:rsidP="004775E5">
      <w:pPr>
        <w:pStyle w:val="PlainText"/>
        <w:rPr>
          <w:rFonts w:ascii="Sentinel" w:hAnsi="Sentinel"/>
        </w:rPr>
      </w:pPr>
      <w:r w:rsidRPr="008E4715">
        <w:rPr>
          <w:rFonts w:ascii="Sentinel" w:hAnsi="Sentinel"/>
        </w:rPr>
        <w:tab/>
        <w:t>Are they married?</w:t>
      </w:r>
    </w:p>
    <w:p w14:paraId="574A9581" w14:textId="77777777" w:rsidR="00201974" w:rsidRPr="008E4715" w:rsidRDefault="0083382D" w:rsidP="004775E5">
      <w:pPr>
        <w:pStyle w:val="PlainText"/>
        <w:rPr>
          <w:rFonts w:ascii="Sentinel" w:hAnsi="Sentinel"/>
        </w:rPr>
      </w:pPr>
      <w:r w:rsidRPr="008E4715">
        <w:rPr>
          <w:rFonts w:ascii="Sentinel" w:hAnsi="Sentinel"/>
        </w:rPr>
        <w:tab/>
        <w:t>T</w:t>
      </w:r>
      <w:r w:rsidR="00201974" w:rsidRPr="008E4715">
        <w:rPr>
          <w:rFonts w:ascii="Sentinel" w:hAnsi="Sentinel"/>
        </w:rPr>
        <w:t>he length of time they’</w:t>
      </w:r>
      <w:r w:rsidRPr="008E4715">
        <w:rPr>
          <w:rFonts w:ascii="Sentinel" w:hAnsi="Sentinel"/>
        </w:rPr>
        <w:t xml:space="preserve">ve been married or </w:t>
      </w:r>
      <w:r w:rsidR="00201974" w:rsidRPr="008E4715">
        <w:rPr>
          <w:rFonts w:ascii="Sentinel" w:hAnsi="Sentinel"/>
        </w:rPr>
        <w:t>know</w:t>
      </w:r>
      <w:r w:rsidRPr="008E4715">
        <w:rPr>
          <w:rFonts w:ascii="Sentinel" w:hAnsi="Sentinel"/>
        </w:rPr>
        <w:t>n</w:t>
      </w:r>
      <w:r w:rsidR="00201974" w:rsidRPr="008E4715">
        <w:rPr>
          <w:rFonts w:ascii="Sentinel" w:hAnsi="Sentinel"/>
        </w:rPr>
        <w:t xml:space="preserve"> each other.</w:t>
      </w:r>
    </w:p>
    <w:p w14:paraId="63564BA8" w14:textId="77777777" w:rsidR="0083382D" w:rsidRPr="008E4715" w:rsidRDefault="0083382D" w:rsidP="004775E5">
      <w:pPr>
        <w:pStyle w:val="PlainText"/>
        <w:rPr>
          <w:rFonts w:ascii="Sentinel" w:hAnsi="Sentinel"/>
        </w:rPr>
      </w:pPr>
      <w:r w:rsidRPr="008E4715">
        <w:rPr>
          <w:rFonts w:ascii="Sentinel" w:hAnsi="Sentinel"/>
        </w:rPr>
        <w:tab/>
        <w:t>Are there negative outcomes when they are together?</w:t>
      </w:r>
    </w:p>
    <w:p w14:paraId="00A1450D" w14:textId="77777777" w:rsidR="004775E5" w:rsidRPr="008E4715" w:rsidRDefault="004775E5" w:rsidP="004775E5">
      <w:pPr>
        <w:pStyle w:val="PlainText"/>
        <w:rPr>
          <w:rFonts w:ascii="Sentinel" w:hAnsi="Sentinel"/>
        </w:rPr>
      </w:pPr>
    </w:p>
    <w:p w14:paraId="45E2AF1B"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3.    Each </w:t>
      </w:r>
      <w:r w:rsidR="0063581F" w:rsidRPr="008E4715">
        <w:rPr>
          <w:rFonts w:ascii="Sentinel" w:hAnsi="Sentinel"/>
        </w:rPr>
        <w:t>resident</w:t>
      </w:r>
      <w:r w:rsidRPr="008E4715">
        <w:rPr>
          <w:rFonts w:ascii="Sentinel" w:hAnsi="Sentinel"/>
        </w:rPr>
        <w:t xml:space="preserve">'s physician will be notified to assist in determining if the </w:t>
      </w:r>
      <w:r w:rsidR="0063581F" w:rsidRPr="008E4715">
        <w:rPr>
          <w:rFonts w:ascii="Sentinel" w:hAnsi="Sentinel"/>
        </w:rPr>
        <w:t>resident</w:t>
      </w:r>
      <w:r w:rsidRPr="008E4715">
        <w:rPr>
          <w:rFonts w:ascii="Sentinel" w:hAnsi="Sentinel"/>
        </w:rPr>
        <w:t xml:space="preserve"> has the capacity to consent.</w:t>
      </w:r>
    </w:p>
    <w:p w14:paraId="24647F2B" w14:textId="77777777" w:rsidR="004775E5" w:rsidRPr="008E4715" w:rsidRDefault="004775E5" w:rsidP="00253BE3">
      <w:pPr>
        <w:pStyle w:val="PlainText"/>
        <w:ind w:left="360" w:hanging="360"/>
        <w:rPr>
          <w:rFonts w:ascii="Sentinel" w:hAnsi="Sentinel"/>
        </w:rPr>
      </w:pPr>
    </w:p>
    <w:p w14:paraId="3E6F6A31"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4.    The legal representative will be notified to be part of the decision-making process regarding the </w:t>
      </w:r>
      <w:r w:rsidR="0063581F" w:rsidRPr="008E4715">
        <w:rPr>
          <w:rFonts w:ascii="Sentinel" w:hAnsi="Sentinel"/>
        </w:rPr>
        <w:t>resident</w:t>
      </w:r>
      <w:r w:rsidRPr="008E4715">
        <w:rPr>
          <w:rFonts w:ascii="Sentinel" w:hAnsi="Sentinel"/>
        </w:rPr>
        <w:t>'s desire for a sexual relationship.</w:t>
      </w:r>
    </w:p>
    <w:p w14:paraId="53499DE9" w14:textId="77777777" w:rsidR="004775E5" w:rsidRPr="008E4715" w:rsidRDefault="004775E5" w:rsidP="00253BE3">
      <w:pPr>
        <w:pStyle w:val="PlainText"/>
        <w:ind w:left="360" w:hanging="360"/>
        <w:rPr>
          <w:rFonts w:ascii="Sentinel" w:hAnsi="Sentinel"/>
        </w:rPr>
      </w:pPr>
    </w:p>
    <w:p w14:paraId="4A3BD1C1"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5.    If the </w:t>
      </w:r>
      <w:r w:rsidR="0063581F" w:rsidRPr="008E4715">
        <w:rPr>
          <w:rFonts w:ascii="Sentinel" w:hAnsi="Sentinel"/>
        </w:rPr>
        <w:t>resident</w:t>
      </w:r>
      <w:r w:rsidRPr="008E4715">
        <w:rPr>
          <w:rFonts w:ascii="Sentinel" w:hAnsi="Sentinel"/>
        </w:rPr>
        <w:t>(s) are found to not have the capacity to consent, the service plan will be updated to reflect interventions to prevent such an encounter.</w:t>
      </w:r>
    </w:p>
    <w:p w14:paraId="73EAB858" w14:textId="77777777" w:rsidR="004775E5" w:rsidRPr="008E4715" w:rsidRDefault="004775E5" w:rsidP="00253BE3">
      <w:pPr>
        <w:pStyle w:val="PlainText"/>
        <w:ind w:left="360" w:hanging="360"/>
        <w:rPr>
          <w:rFonts w:ascii="Sentinel" w:hAnsi="Sentinel"/>
        </w:rPr>
      </w:pPr>
    </w:p>
    <w:p w14:paraId="0EAF0301"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6.    The service plan will be updated for those </w:t>
      </w:r>
      <w:r w:rsidR="0063581F" w:rsidRPr="008E4715">
        <w:rPr>
          <w:rFonts w:ascii="Sentinel" w:hAnsi="Sentinel"/>
        </w:rPr>
        <w:t>resident</w:t>
      </w:r>
      <w:r w:rsidRPr="008E4715">
        <w:rPr>
          <w:rFonts w:ascii="Sentinel" w:hAnsi="Sentinel"/>
        </w:rPr>
        <w:t>s with cognitive impairment who have the capacity to consent. The service plan will inform staff of the sexual relationship and interventions to allow privacy as well as to watch for any negative outcomes.</w:t>
      </w:r>
    </w:p>
    <w:p w14:paraId="6B12FABA" w14:textId="77777777" w:rsidR="004775E5" w:rsidRPr="008E4715" w:rsidRDefault="004775E5" w:rsidP="00253BE3">
      <w:pPr>
        <w:pStyle w:val="PlainText"/>
        <w:ind w:left="360" w:hanging="360"/>
        <w:rPr>
          <w:rFonts w:ascii="Sentinel" w:hAnsi="Sentinel"/>
        </w:rPr>
      </w:pPr>
    </w:p>
    <w:p w14:paraId="5229A8B5" w14:textId="77777777" w:rsidR="004775E5" w:rsidRPr="008E4715" w:rsidRDefault="004775E5" w:rsidP="00253BE3">
      <w:pPr>
        <w:pStyle w:val="PlainText"/>
        <w:ind w:left="360" w:hanging="360"/>
        <w:rPr>
          <w:rFonts w:ascii="Sentinel" w:hAnsi="Sentinel"/>
        </w:rPr>
      </w:pPr>
      <w:r w:rsidRPr="008E4715">
        <w:rPr>
          <w:rFonts w:ascii="Sentinel" w:hAnsi="Sentinel"/>
        </w:rPr>
        <w:t xml:space="preserve">7.    The capacity to </w:t>
      </w:r>
      <w:r w:rsidR="00A27938" w:rsidRPr="008E4715">
        <w:rPr>
          <w:rFonts w:ascii="Sentinel" w:hAnsi="Sentinel"/>
        </w:rPr>
        <w:t xml:space="preserve">consent will be reviewed by a nurse </w:t>
      </w:r>
      <w:r w:rsidR="00FF656B" w:rsidRPr="008E4715">
        <w:rPr>
          <w:rFonts w:ascii="Sentinel" w:hAnsi="Sentinel"/>
        </w:rPr>
        <w:t xml:space="preserve">every 90 days or with a </w:t>
      </w:r>
      <w:r w:rsidR="00A27938" w:rsidRPr="008E4715">
        <w:rPr>
          <w:rFonts w:ascii="Sentinel" w:hAnsi="Sentinel"/>
        </w:rPr>
        <w:t>c</w:t>
      </w:r>
      <w:r w:rsidR="00FF656B" w:rsidRPr="008E4715">
        <w:rPr>
          <w:rFonts w:ascii="Sentinel" w:hAnsi="Sentinel"/>
        </w:rPr>
        <w:t xml:space="preserve">hange in the </w:t>
      </w:r>
      <w:r w:rsidR="0063581F" w:rsidRPr="008E4715">
        <w:rPr>
          <w:rFonts w:ascii="Sentinel" w:hAnsi="Sentinel"/>
        </w:rPr>
        <w:t>resident</w:t>
      </w:r>
      <w:r w:rsidR="00FF656B" w:rsidRPr="008E4715">
        <w:rPr>
          <w:rFonts w:ascii="Sentinel" w:hAnsi="Sentinel"/>
        </w:rPr>
        <w:t>’s condition</w:t>
      </w:r>
      <w:r w:rsidRPr="008E4715">
        <w:rPr>
          <w:rFonts w:ascii="Sentinel" w:hAnsi="Sentinel"/>
        </w:rPr>
        <w:t>.</w:t>
      </w:r>
    </w:p>
    <w:p w14:paraId="2339FA67" w14:textId="77777777" w:rsidR="004775E5" w:rsidRPr="008E4715" w:rsidRDefault="004775E5" w:rsidP="00253BE3">
      <w:pPr>
        <w:pStyle w:val="PlainText"/>
        <w:ind w:left="360" w:hanging="360"/>
        <w:rPr>
          <w:rFonts w:ascii="Sentinel" w:hAnsi="Sentinel"/>
        </w:rPr>
      </w:pPr>
    </w:p>
    <w:p w14:paraId="0248024F" w14:textId="77777777" w:rsidR="004775E5" w:rsidRPr="008E4715" w:rsidRDefault="00D53154" w:rsidP="00253BE3">
      <w:pPr>
        <w:pStyle w:val="PlainText"/>
        <w:ind w:left="360" w:hanging="360"/>
        <w:rPr>
          <w:rFonts w:ascii="Sentinel" w:hAnsi="Sentinel"/>
        </w:rPr>
      </w:pPr>
      <w:r w:rsidRPr="008E4715">
        <w:rPr>
          <w:rFonts w:ascii="Sentinel" w:hAnsi="Sentinel"/>
        </w:rPr>
        <w:t>8.    A copy of the capacity to consent assessment and other documentation determining capacity to consent will be kept in the tenant's clinical record.</w:t>
      </w:r>
    </w:p>
    <w:p w14:paraId="1F8D4FB7" w14:textId="77777777" w:rsidR="00AA1D07" w:rsidRPr="008E4715" w:rsidRDefault="00AA1D07">
      <w:pPr>
        <w:rPr>
          <w:rFonts w:ascii="Sentinel" w:hAnsi="Sentinel"/>
        </w:rPr>
      </w:pPr>
    </w:p>
    <w:sectPr w:rsidR="00AA1D07" w:rsidRPr="008E4715" w:rsidSect="008E471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3ABC" w14:textId="77777777" w:rsidR="00AF2BDE" w:rsidRDefault="00AF2BDE" w:rsidP="006A329B">
      <w:pPr>
        <w:spacing w:after="0" w:line="240" w:lineRule="auto"/>
      </w:pPr>
      <w:r>
        <w:separator/>
      </w:r>
    </w:p>
  </w:endnote>
  <w:endnote w:type="continuationSeparator" w:id="0">
    <w:p w14:paraId="69ADFA29" w14:textId="77777777" w:rsidR="00AF2BDE" w:rsidRDefault="00AF2BDE" w:rsidP="006A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CBAD" w14:textId="77777777" w:rsidR="00936F56" w:rsidRDefault="00936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8297" w14:textId="77777777" w:rsidR="006A329B" w:rsidRPr="00936F56" w:rsidRDefault="008E4715">
    <w:pPr>
      <w:pStyle w:val="Footer"/>
      <w:rPr>
        <w:rFonts w:ascii="Gotham Book" w:hAnsi="Gotham Book"/>
        <w:sz w:val="18"/>
      </w:rPr>
    </w:pPr>
    <w:r w:rsidRPr="00936F56">
      <w:rPr>
        <w:rFonts w:ascii="Gotham Book" w:hAnsi="Gotham Book"/>
        <w:sz w:val="18"/>
      </w:rPr>
      <w:t>Iowa Health Care Association</w:t>
    </w:r>
    <w:r w:rsidRPr="00936F56">
      <w:rPr>
        <w:rFonts w:ascii="Gotham Book" w:hAnsi="Gotham Book"/>
        <w:sz w:val="18"/>
      </w:rPr>
      <w:tab/>
    </w:r>
    <w:r w:rsidRPr="00936F56">
      <w:rPr>
        <w:rFonts w:ascii="Gotham Book" w:hAnsi="Gotham Book"/>
        <w:sz w:val="18"/>
      </w:rPr>
      <w:tab/>
    </w:r>
    <w:r w:rsidR="006A329B" w:rsidRPr="00936F56">
      <w:rPr>
        <w:rFonts w:ascii="Gotham Book" w:hAnsi="Gotham Book"/>
        <w:sz w:val="18"/>
      </w:rPr>
      <w:t xml:space="preserve"> March 2016</w:t>
    </w:r>
  </w:p>
  <w:p w14:paraId="49FDA2DC" w14:textId="77777777" w:rsidR="006A329B" w:rsidRPr="00936F56" w:rsidRDefault="006A329B">
    <w:pPr>
      <w:pStyle w:val="Footer"/>
      <w:rPr>
        <w:rFonts w:ascii="Gotham Book" w:hAnsi="Gotham Book"/>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C88A" w14:textId="77777777" w:rsidR="00936F56" w:rsidRDefault="0093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7001" w14:textId="77777777" w:rsidR="00AF2BDE" w:rsidRDefault="00AF2BDE" w:rsidP="006A329B">
      <w:pPr>
        <w:spacing w:after="0" w:line="240" w:lineRule="auto"/>
      </w:pPr>
      <w:r>
        <w:separator/>
      </w:r>
    </w:p>
  </w:footnote>
  <w:footnote w:type="continuationSeparator" w:id="0">
    <w:p w14:paraId="16D66C61" w14:textId="77777777" w:rsidR="00AF2BDE" w:rsidRDefault="00AF2BDE" w:rsidP="006A3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7A95" w14:textId="77777777" w:rsidR="00936F56" w:rsidRDefault="0093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DDA8" w14:textId="77777777" w:rsidR="00936F56" w:rsidRDefault="00936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F1BF" w14:textId="77777777" w:rsidR="00936F56" w:rsidRDefault="00936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E5"/>
    <w:rsid w:val="00201974"/>
    <w:rsid w:val="00253BE3"/>
    <w:rsid w:val="004775E5"/>
    <w:rsid w:val="00492B97"/>
    <w:rsid w:val="00620A41"/>
    <w:rsid w:val="00631613"/>
    <w:rsid w:val="0063581F"/>
    <w:rsid w:val="006A329B"/>
    <w:rsid w:val="0083382D"/>
    <w:rsid w:val="008E4715"/>
    <w:rsid w:val="00936F56"/>
    <w:rsid w:val="00A27938"/>
    <w:rsid w:val="00AA1D07"/>
    <w:rsid w:val="00AF2BDE"/>
    <w:rsid w:val="00D53154"/>
    <w:rsid w:val="00FE641C"/>
    <w:rsid w:val="00FF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3834"/>
  <w15:chartTrackingRefBased/>
  <w15:docId w15:val="{3FABB000-761B-477C-8326-E06A9AF3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775E5"/>
    <w:pPr>
      <w:spacing w:after="0" w:line="240" w:lineRule="auto"/>
    </w:pPr>
    <w:rPr>
      <w:szCs w:val="21"/>
    </w:rPr>
  </w:style>
  <w:style w:type="character" w:customStyle="1" w:styleId="PlainTextChar">
    <w:name w:val="Plain Text Char"/>
    <w:link w:val="PlainText"/>
    <w:uiPriority w:val="99"/>
    <w:semiHidden/>
    <w:rsid w:val="004775E5"/>
    <w:rPr>
      <w:rFonts w:ascii="Calibri" w:hAnsi="Calibri"/>
      <w:szCs w:val="21"/>
    </w:rPr>
  </w:style>
  <w:style w:type="character" w:styleId="Hyperlink">
    <w:name w:val="Hyperlink"/>
    <w:uiPriority w:val="99"/>
    <w:unhideWhenUsed/>
    <w:rsid w:val="00492B97"/>
    <w:rPr>
      <w:color w:val="0563C1"/>
      <w:u w:val="single"/>
    </w:rPr>
  </w:style>
  <w:style w:type="paragraph" w:styleId="Header">
    <w:name w:val="header"/>
    <w:basedOn w:val="Normal"/>
    <w:link w:val="HeaderChar"/>
    <w:uiPriority w:val="99"/>
    <w:unhideWhenUsed/>
    <w:rsid w:val="006A3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9B"/>
  </w:style>
  <w:style w:type="paragraph" w:styleId="Footer">
    <w:name w:val="footer"/>
    <w:basedOn w:val="Normal"/>
    <w:link w:val="FooterChar"/>
    <w:uiPriority w:val="99"/>
    <w:unhideWhenUsed/>
    <w:rsid w:val="006A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9B"/>
  </w:style>
  <w:style w:type="paragraph" w:styleId="BalloonText">
    <w:name w:val="Balloon Text"/>
    <w:basedOn w:val="Normal"/>
    <w:link w:val="BalloonTextChar"/>
    <w:uiPriority w:val="99"/>
    <w:semiHidden/>
    <w:unhideWhenUsed/>
    <w:rsid w:val="006A32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3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02509">
      <w:bodyDiv w:val="1"/>
      <w:marLeft w:val="0"/>
      <w:marRight w:val="0"/>
      <w:marTop w:val="0"/>
      <w:marBottom w:val="0"/>
      <w:divBdr>
        <w:top w:val="none" w:sz="0" w:space="0" w:color="auto"/>
        <w:left w:val="none" w:sz="0" w:space="0" w:color="auto"/>
        <w:bottom w:val="none" w:sz="0" w:space="0" w:color="auto"/>
        <w:right w:val="none" w:sz="0" w:space="0" w:color="auto"/>
      </w:divBdr>
    </w:div>
    <w:div w:id="6121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owahealthcare.org/UserDocs/VERBAL%20INFORMED%20SEXUAL%20CONSENT%20ASSESSMENT%20TOOL.doc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Links>
    <vt:vector size="6" baseType="variant">
      <vt:variant>
        <vt:i4>7667835</vt:i4>
      </vt:variant>
      <vt:variant>
        <vt:i4>0</vt:i4>
      </vt:variant>
      <vt:variant>
        <vt:i4>0</vt:i4>
      </vt:variant>
      <vt:variant>
        <vt:i4>5</vt:i4>
      </vt:variant>
      <vt:variant>
        <vt:lpwstr>VERBAL INFORMED SEXUAL CONSENT ASSESSMENT TOOL.docx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Nutty</dc:creator>
  <cp:keywords/>
  <dc:description/>
  <cp:lastModifiedBy>Lori Ristau</cp:lastModifiedBy>
  <cp:revision>5</cp:revision>
  <cp:lastPrinted>2016-03-08T15:29:00Z</cp:lastPrinted>
  <dcterms:created xsi:type="dcterms:W3CDTF">2019-03-07T21:28:00Z</dcterms:created>
  <dcterms:modified xsi:type="dcterms:W3CDTF">2019-03-07T21:43:00Z</dcterms:modified>
</cp:coreProperties>
</file>