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8BA0E" w14:textId="77777777" w:rsidR="00151248" w:rsidRDefault="00151248" w:rsidP="00151248">
      <w:pPr>
        <w:jc w:val="center"/>
        <w:rPr>
          <w:rFonts w:ascii="Times New Roman" w:hAnsi="Times New Roman" w:cs="Times New Roman"/>
          <w:b/>
          <w:bCs/>
          <w:sz w:val="28"/>
          <w:szCs w:val="28"/>
          <w:u w:val="single"/>
        </w:rPr>
      </w:pPr>
      <w:r>
        <w:rPr>
          <w:rFonts w:ascii="Times New Roman" w:hAnsi="Times New Roman" w:cs="Times New Roman"/>
          <w:noProof/>
        </w:rPr>
        <w:drawing>
          <wp:anchor distT="0" distB="0" distL="114300" distR="114300" simplePos="0" relativeHeight="251659264" behindDoc="0" locked="0" layoutInCell="1" allowOverlap="1" wp14:anchorId="186597A9" wp14:editId="0C77E339">
            <wp:simplePos x="0" y="0"/>
            <wp:positionH relativeFrom="margin">
              <wp:align>center</wp:align>
            </wp:positionH>
            <wp:positionV relativeFrom="paragraph">
              <wp:posOffset>-450215</wp:posOffset>
            </wp:positionV>
            <wp:extent cx="1943100" cy="105091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0509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671AC" w14:textId="77777777" w:rsidR="00151248" w:rsidRDefault="00151248" w:rsidP="00151248">
      <w:pPr>
        <w:jc w:val="center"/>
        <w:rPr>
          <w:rFonts w:ascii="Times New Roman" w:hAnsi="Times New Roman" w:cs="Times New Roman"/>
          <w:b/>
          <w:bCs/>
          <w:sz w:val="28"/>
          <w:szCs w:val="28"/>
          <w:u w:val="single"/>
        </w:rPr>
      </w:pPr>
    </w:p>
    <w:p w14:paraId="50638B01" w14:textId="77777777" w:rsidR="00151248" w:rsidRDefault="00151248" w:rsidP="00151248">
      <w:pPr>
        <w:jc w:val="center"/>
        <w:rPr>
          <w:rFonts w:ascii="Times New Roman" w:hAnsi="Times New Roman" w:cs="Times New Roman"/>
          <w:b/>
          <w:bCs/>
          <w:sz w:val="28"/>
          <w:szCs w:val="28"/>
          <w:u w:val="single"/>
        </w:rPr>
      </w:pPr>
    </w:p>
    <w:p w14:paraId="15D8960F" w14:textId="429E7410" w:rsidR="00151248" w:rsidRPr="00E421E6" w:rsidRDefault="00151248" w:rsidP="00151248">
      <w:pPr>
        <w:jc w:val="center"/>
        <w:rPr>
          <w:rFonts w:ascii="Times New Roman" w:hAnsi="Times New Roman" w:cs="Times New Roman"/>
          <w:b/>
          <w:bCs/>
          <w:sz w:val="28"/>
          <w:szCs w:val="28"/>
        </w:rPr>
      </w:pPr>
      <w:r w:rsidRPr="00E421E6">
        <w:rPr>
          <w:rFonts w:ascii="Times New Roman" w:hAnsi="Times New Roman" w:cs="Times New Roman"/>
          <w:b/>
          <w:bCs/>
          <w:sz w:val="28"/>
          <w:szCs w:val="28"/>
        </w:rPr>
        <w:t>Conventional PPE Strategy Guidelines</w:t>
      </w:r>
      <w:r>
        <w:rPr>
          <w:rFonts w:ascii="Times New Roman" w:hAnsi="Times New Roman" w:cs="Times New Roman"/>
          <w:b/>
          <w:bCs/>
          <w:sz w:val="28"/>
          <w:szCs w:val="28"/>
        </w:rPr>
        <w:t xml:space="preserve"> for Home Health Settings</w:t>
      </w:r>
    </w:p>
    <w:p w14:paraId="3101781F" w14:textId="3810EAAA" w:rsidR="00151248" w:rsidRPr="00E25A33" w:rsidRDefault="00151248" w:rsidP="00151248">
      <w:pPr>
        <w:rPr>
          <w:rFonts w:ascii="Times New Roman" w:hAnsi="Times New Roman" w:cs="Times New Roman"/>
        </w:rPr>
      </w:pPr>
      <w:r w:rsidRPr="008648C7">
        <w:rPr>
          <w:rFonts w:ascii="Times New Roman" w:hAnsi="Times New Roman" w:cs="Times New Roman"/>
        </w:rPr>
        <w:t xml:space="preserve">Due to personal protective equipment (PPE) now being largely available for purchase, </w:t>
      </w:r>
      <w:r>
        <w:rPr>
          <w:rFonts w:ascii="Times New Roman" w:hAnsi="Times New Roman" w:cs="Times New Roman"/>
        </w:rPr>
        <w:t>agencies</w:t>
      </w:r>
      <w:r w:rsidRPr="008648C7">
        <w:rPr>
          <w:rFonts w:ascii="Times New Roman" w:hAnsi="Times New Roman" w:cs="Times New Roman"/>
        </w:rPr>
        <w:t xml:space="preserve"> are expected to be using conventional capacity PPE strategies. </w:t>
      </w:r>
    </w:p>
    <w:tbl>
      <w:tblPr>
        <w:tblW w:w="10685" w:type="dxa"/>
        <w:tblInd w:w="-108" w:type="dxa"/>
        <w:tblBorders>
          <w:top w:val="nil"/>
          <w:left w:val="nil"/>
          <w:bottom w:val="nil"/>
          <w:right w:val="nil"/>
        </w:tblBorders>
        <w:tblLayout w:type="fixed"/>
        <w:tblLook w:val="0000" w:firstRow="0" w:lastRow="0" w:firstColumn="0" w:lastColumn="0" w:noHBand="0" w:noVBand="0"/>
      </w:tblPr>
      <w:tblGrid>
        <w:gridCol w:w="10685"/>
      </w:tblGrid>
      <w:tr w:rsidR="00151248" w:rsidRPr="00E25A33" w14:paraId="40D37E72" w14:textId="77777777" w:rsidTr="00104A9E">
        <w:trPr>
          <w:trHeight w:val="1187"/>
        </w:trPr>
        <w:tc>
          <w:tcPr>
            <w:tcW w:w="10685" w:type="dxa"/>
          </w:tcPr>
          <w:p w14:paraId="2069F95B" w14:textId="14152DC3" w:rsidR="00151248" w:rsidRPr="00BF6F8D" w:rsidRDefault="00151248" w:rsidP="00104A9E">
            <w:pPr>
              <w:rPr>
                <w:rFonts w:ascii="Times New Roman" w:hAnsi="Times New Roman" w:cs="Times New Roman"/>
                <w:b/>
                <w:bCs/>
                <w:i/>
                <w:iCs/>
                <w:u w:val="single"/>
              </w:rPr>
            </w:pPr>
            <w:r w:rsidRPr="00E25A33">
              <w:rPr>
                <w:rFonts w:ascii="Times New Roman" w:hAnsi="Times New Roman" w:cs="Times New Roman"/>
                <w:b/>
                <w:bCs/>
              </w:rPr>
              <w:t xml:space="preserve"> </w:t>
            </w:r>
            <w:r>
              <w:rPr>
                <w:rFonts w:ascii="Times New Roman" w:hAnsi="Times New Roman" w:cs="Times New Roman"/>
                <w:b/>
                <w:bCs/>
                <w:i/>
                <w:iCs/>
                <w:u w:val="single"/>
              </w:rPr>
              <w:t>Guidance</w:t>
            </w:r>
            <w:r w:rsidRPr="00BF6F8D">
              <w:rPr>
                <w:rFonts w:ascii="Times New Roman" w:hAnsi="Times New Roman" w:cs="Times New Roman"/>
                <w:b/>
                <w:bCs/>
                <w:i/>
                <w:iCs/>
                <w:u w:val="single"/>
              </w:rPr>
              <w:t xml:space="preserve"> whe</w:t>
            </w:r>
            <w:r>
              <w:rPr>
                <w:rFonts w:ascii="Times New Roman" w:hAnsi="Times New Roman" w:cs="Times New Roman"/>
                <w:b/>
                <w:bCs/>
                <w:i/>
                <w:iCs/>
                <w:u w:val="single"/>
              </w:rPr>
              <w:t>n caring for a patient that is asymptomatic or not COVID-19 positive/suspected</w:t>
            </w:r>
            <w:r w:rsidRPr="00BF6F8D">
              <w:rPr>
                <w:rFonts w:ascii="Times New Roman" w:hAnsi="Times New Roman" w:cs="Times New Roman"/>
                <w:b/>
                <w:bCs/>
                <w:i/>
                <w:iCs/>
                <w:u w:val="single"/>
              </w:rPr>
              <w:t>:</w:t>
            </w:r>
          </w:p>
          <w:p w14:paraId="1C8FE576" w14:textId="77777777" w:rsidR="00151248" w:rsidRPr="008648C7" w:rsidRDefault="00151248" w:rsidP="00151248">
            <w:pPr>
              <w:pStyle w:val="ListParagraph"/>
              <w:numPr>
                <w:ilvl w:val="0"/>
                <w:numId w:val="3"/>
              </w:numPr>
              <w:rPr>
                <w:rFonts w:ascii="Times New Roman" w:hAnsi="Times New Roman" w:cs="Times New Roman"/>
                <w:b/>
                <w:bCs/>
              </w:rPr>
            </w:pPr>
            <w:r w:rsidRPr="008648C7">
              <w:rPr>
                <w:rFonts w:ascii="Times New Roman" w:hAnsi="Times New Roman" w:cs="Times New Roman"/>
              </w:rPr>
              <w:t xml:space="preserve">Communities with </w:t>
            </w:r>
            <w:r w:rsidRPr="00BF6F8D">
              <w:rPr>
                <w:rFonts w:ascii="Times New Roman" w:hAnsi="Times New Roman" w:cs="Times New Roman"/>
                <w:i/>
                <w:iCs/>
              </w:rPr>
              <w:t>minimal to no</w:t>
            </w:r>
            <w:r w:rsidRPr="008648C7">
              <w:rPr>
                <w:rFonts w:ascii="Times New Roman" w:hAnsi="Times New Roman" w:cs="Times New Roman"/>
              </w:rPr>
              <w:t xml:space="preserve"> community transmission: adhere to </w:t>
            </w:r>
            <w:hyperlink r:id="rId6" w:history="1">
              <w:r w:rsidRPr="00BF6F8D">
                <w:rPr>
                  <w:rStyle w:val="Hyperlink"/>
                  <w:rFonts w:ascii="Times New Roman" w:hAnsi="Times New Roman" w:cs="Times New Roman"/>
                </w:rPr>
                <w:t>Standard</w:t>
              </w:r>
            </w:hyperlink>
            <w:r w:rsidRPr="008648C7">
              <w:rPr>
                <w:rFonts w:ascii="Times New Roman" w:hAnsi="Times New Roman" w:cs="Times New Roman"/>
              </w:rPr>
              <w:t xml:space="preserve"> and </w:t>
            </w:r>
            <w:hyperlink r:id="rId7" w:history="1">
              <w:r w:rsidRPr="00BF6F8D">
                <w:rPr>
                  <w:rStyle w:val="Hyperlink"/>
                  <w:rFonts w:ascii="Times New Roman" w:hAnsi="Times New Roman" w:cs="Times New Roman"/>
                </w:rPr>
                <w:t>Transmission-Based Precautions</w:t>
              </w:r>
            </w:hyperlink>
            <w:r w:rsidRPr="008648C7">
              <w:rPr>
                <w:rFonts w:ascii="Times New Roman" w:hAnsi="Times New Roman" w:cs="Times New Roman"/>
              </w:rPr>
              <w:t xml:space="preserve"> (TBP) based on anticipated exposures and suspected or confirmed diagnoses. PPE use may include eye protection, N95 or equivalent or higher-level respirator, and other PPE. Universal use of well-fitting facemask for source control continues to be recommended for health care personnel (HCP) if not wearing a respirator mask.</w:t>
            </w:r>
          </w:p>
          <w:p w14:paraId="5762ABB2" w14:textId="77777777" w:rsidR="00151248" w:rsidRPr="008648C7" w:rsidRDefault="00151248" w:rsidP="00151248">
            <w:pPr>
              <w:pStyle w:val="ListParagraph"/>
              <w:numPr>
                <w:ilvl w:val="0"/>
                <w:numId w:val="3"/>
              </w:numPr>
              <w:rPr>
                <w:rFonts w:ascii="Times New Roman" w:hAnsi="Times New Roman" w:cs="Times New Roman"/>
              </w:rPr>
            </w:pPr>
            <w:r w:rsidRPr="008648C7">
              <w:rPr>
                <w:rFonts w:ascii="Times New Roman" w:hAnsi="Times New Roman" w:cs="Times New Roman"/>
              </w:rPr>
              <w:t xml:space="preserve">Communities with </w:t>
            </w:r>
            <w:r w:rsidRPr="00BF6F8D">
              <w:rPr>
                <w:rFonts w:ascii="Times New Roman" w:hAnsi="Times New Roman" w:cs="Times New Roman"/>
                <w:i/>
                <w:iCs/>
              </w:rPr>
              <w:t>moderate to substantial</w:t>
            </w:r>
            <w:r w:rsidRPr="008648C7">
              <w:rPr>
                <w:rFonts w:ascii="Times New Roman" w:hAnsi="Times New Roman" w:cs="Times New Roman"/>
              </w:rPr>
              <w:t xml:space="preserve"> community transmission: follow Standard Precautions (and Transmission-Based Precautions) based on the suspected diagnosis which includes using an N95 respirator or equivalent and face protection for applicable situations with increased risk of pathogen transmission.</w:t>
            </w:r>
          </w:p>
          <w:p w14:paraId="7F619E9B"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 xml:space="preserve">Definition of community transmission can be determined by using CMS’s color-coding methodology. </w:t>
            </w:r>
          </w:p>
          <w:p w14:paraId="5F0EA36E" w14:textId="77777777" w:rsidR="00151248" w:rsidRPr="008648C7" w:rsidRDefault="00151248" w:rsidP="00104A9E">
            <w:pPr>
              <w:spacing w:after="0"/>
              <w:jc w:val="center"/>
              <w:rPr>
                <w:rFonts w:ascii="Times New Roman" w:hAnsi="Times New Roman" w:cs="Times New Roman"/>
              </w:rPr>
            </w:pPr>
            <w:r w:rsidRPr="008648C7">
              <w:rPr>
                <w:rFonts w:ascii="Times New Roman" w:hAnsi="Times New Roman" w:cs="Times New Roman"/>
              </w:rPr>
              <w:t>0-5% = Green (No to Minimal Transmission)</w:t>
            </w:r>
          </w:p>
          <w:p w14:paraId="4FA0AE5E" w14:textId="77777777" w:rsidR="00151248" w:rsidRPr="008648C7" w:rsidRDefault="00151248" w:rsidP="00104A9E">
            <w:pPr>
              <w:spacing w:after="0"/>
              <w:jc w:val="center"/>
              <w:rPr>
                <w:rFonts w:ascii="Times New Roman" w:hAnsi="Times New Roman" w:cs="Times New Roman"/>
              </w:rPr>
            </w:pPr>
            <w:r w:rsidRPr="008648C7">
              <w:rPr>
                <w:rFonts w:ascii="Times New Roman" w:hAnsi="Times New Roman" w:cs="Times New Roman"/>
              </w:rPr>
              <w:t>5-10% = Yellow (Moderate Transmission)</w:t>
            </w:r>
          </w:p>
          <w:p w14:paraId="624E2C34" w14:textId="77777777" w:rsidR="00151248" w:rsidRDefault="00151248" w:rsidP="00104A9E">
            <w:pPr>
              <w:spacing w:after="0"/>
              <w:jc w:val="center"/>
              <w:rPr>
                <w:rFonts w:ascii="Times New Roman" w:hAnsi="Times New Roman" w:cs="Times New Roman"/>
              </w:rPr>
            </w:pPr>
            <w:r w:rsidRPr="008648C7">
              <w:rPr>
                <w:rFonts w:ascii="Times New Roman" w:hAnsi="Times New Roman" w:cs="Times New Roman"/>
              </w:rPr>
              <w:t>&gt;10% = Red (Substantial Transmission)</w:t>
            </w:r>
          </w:p>
          <w:p w14:paraId="6C02C1D8" w14:textId="77777777" w:rsidR="00151248" w:rsidRPr="00E25A33" w:rsidRDefault="00151248" w:rsidP="00104A9E">
            <w:pPr>
              <w:spacing w:after="0"/>
              <w:jc w:val="center"/>
              <w:rPr>
                <w:rFonts w:ascii="Times New Roman" w:hAnsi="Times New Roman" w:cs="Times New Roman"/>
              </w:rPr>
            </w:pPr>
          </w:p>
        </w:tc>
      </w:tr>
    </w:tbl>
    <w:p w14:paraId="0CA6A260" w14:textId="5E9FAC5F" w:rsidR="00151248" w:rsidRPr="00BF6F8D" w:rsidRDefault="00151248" w:rsidP="00151248">
      <w:pPr>
        <w:rPr>
          <w:rFonts w:ascii="Times New Roman" w:hAnsi="Times New Roman" w:cs="Times New Roman"/>
          <w:b/>
          <w:bCs/>
          <w:i/>
          <w:iCs/>
          <w:u w:val="single"/>
        </w:rPr>
      </w:pPr>
      <w:r>
        <w:rPr>
          <w:rFonts w:ascii="Times New Roman" w:hAnsi="Times New Roman" w:cs="Times New Roman"/>
          <w:b/>
          <w:bCs/>
          <w:i/>
          <w:iCs/>
          <w:u w:val="single"/>
        </w:rPr>
        <w:t xml:space="preserve">Guidance </w:t>
      </w:r>
      <w:r>
        <w:rPr>
          <w:rFonts w:ascii="Times New Roman" w:hAnsi="Times New Roman" w:cs="Times New Roman"/>
          <w:b/>
          <w:bCs/>
          <w:i/>
          <w:iCs/>
          <w:u w:val="single"/>
        </w:rPr>
        <w:t>for caring for a suspected/confirmed COVID-19 positive patient or person who is undergoing testing:</w:t>
      </w:r>
    </w:p>
    <w:p w14:paraId="4BB89D76" w14:textId="2C9023FE" w:rsidR="00151248" w:rsidRDefault="00151248" w:rsidP="00151248">
      <w:pPr>
        <w:rPr>
          <w:rFonts w:ascii="Times New Roman" w:hAnsi="Times New Roman" w:cs="Times New Roman"/>
        </w:rPr>
      </w:pPr>
      <w:r w:rsidRPr="008648C7">
        <w:rPr>
          <w:rFonts w:ascii="Times New Roman" w:hAnsi="Times New Roman" w:cs="Times New Roman"/>
        </w:rPr>
        <w:t xml:space="preserve">CDC recommends that </w:t>
      </w:r>
      <w:r>
        <w:rPr>
          <w:rFonts w:ascii="Times New Roman" w:hAnsi="Times New Roman" w:cs="Times New Roman"/>
        </w:rPr>
        <w:t>HCP</w:t>
      </w:r>
      <w:r w:rsidRPr="008648C7">
        <w:rPr>
          <w:rFonts w:ascii="Times New Roman" w:hAnsi="Times New Roman" w:cs="Times New Roman"/>
        </w:rPr>
        <w:t xml:space="preserve"> should care for all </w:t>
      </w:r>
      <w:r>
        <w:rPr>
          <w:rFonts w:ascii="Times New Roman" w:hAnsi="Times New Roman" w:cs="Times New Roman"/>
        </w:rPr>
        <w:t>patients</w:t>
      </w:r>
      <w:r w:rsidRPr="008648C7">
        <w:rPr>
          <w:rFonts w:ascii="Times New Roman" w:hAnsi="Times New Roman" w:cs="Times New Roman"/>
        </w:rPr>
        <w:t xml:space="preserve"> using N95/respirators, eye protection, gloves, and gowns. </w:t>
      </w:r>
    </w:p>
    <w:p w14:paraId="30C18EC2" w14:textId="1DE24A0C" w:rsidR="00151248" w:rsidRDefault="00151248" w:rsidP="00151248">
      <w:pPr>
        <w:rPr>
          <w:rFonts w:ascii="Times New Roman" w:hAnsi="Times New Roman" w:cs="Times New Roman"/>
        </w:rPr>
      </w:pPr>
      <w:r>
        <w:rPr>
          <w:rFonts w:ascii="Times New Roman" w:hAnsi="Times New Roman" w:cs="Times New Roman"/>
        </w:rPr>
        <w:t xml:space="preserve">CDC also recommends that patients and their in-home caregiver(s) wear a mask, if possible, while </w:t>
      </w:r>
      <w:r w:rsidR="007D2C4D">
        <w:rPr>
          <w:rFonts w:ascii="Times New Roman" w:hAnsi="Times New Roman" w:cs="Times New Roman"/>
        </w:rPr>
        <w:t>cares are being provided. When cares are not being provided, the caregiver and patient should attempt to isolate from each other. Hand hygiene should be practiced by both the patient and the caregiver a</w:t>
      </w:r>
    </w:p>
    <w:p w14:paraId="047D9ADA" w14:textId="77777777" w:rsidR="00151248" w:rsidRPr="00033BB8" w:rsidRDefault="00151248" w:rsidP="00151248">
      <w:pPr>
        <w:rPr>
          <w:rFonts w:ascii="Times New Roman" w:hAnsi="Times New Roman" w:cs="Times New Roman"/>
          <w:b/>
          <w:bCs/>
          <w:u w:val="single"/>
        </w:rPr>
      </w:pPr>
      <w:r w:rsidRPr="00033BB8">
        <w:rPr>
          <w:rFonts w:ascii="Times New Roman" w:hAnsi="Times New Roman" w:cs="Times New Roman"/>
          <w:b/>
          <w:bCs/>
          <w:u w:val="single"/>
        </w:rPr>
        <w:t>Notes:</w:t>
      </w:r>
    </w:p>
    <w:p w14:paraId="61AA4EA5" w14:textId="77777777" w:rsidR="00151248" w:rsidRPr="008648C7" w:rsidRDefault="00151248" w:rsidP="00151248">
      <w:pPr>
        <w:pStyle w:val="ListParagraph"/>
        <w:numPr>
          <w:ilvl w:val="0"/>
          <w:numId w:val="2"/>
        </w:numPr>
        <w:rPr>
          <w:rFonts w:ascii="Times New Roman" w:hAnsi="Times New Roman" w:cs="Times New Roman"/>
        </w:rPr>
      </w:pPr>
      <w:r w:rsidRPr="008648C7">
        <w:rPr>
          <w:rFonts w:ascii="Times New Roman" w:hAnsi="Times New Roman" w:cs="Times New Roman"/>
        </w:rPr>
        <w:t xml:space="preserve">KN95 masks are to be used in the same fashion as a surgical mask and are not considered respirators. Many </w:t>
      </w:r>
      <w:hyperlink r:id="rId8" w:history="1">
        <w:r w:rsidRPr="00BF6F8D">
          <w:rPr>
            <w:rStyle w:val="Hyperlink"/>
            <w:rFonts w:ascii="Times New Roman" w:hAnsi="Times New Roman" w:cs="Times New Roman"/>
          </w:rPr>
          <w:t>KN95s are counterfeit</w:t>
        </w:r>
      </w:hyperlink>
      <w:r w:rsidRPr="008648C7">
        <w:rPr>
          <w:rFonts w:ascii="Times New Roman" w:hAnsi="Times New Roman" w:cs="Times New Roman"/>
        </w:rPr>
        <w:t xml:space="preserve"> and should not be used. </w:t>
      </w:r>
    </w:p>
    <w:p w14:paraId="5D980BA6" w14:textId="77777777" w:rsidR="00151248" w:rsidRPr="008648C7" w:rsidRDefault="00151248" w:rsidP="00151248">
      <w:pPr>
        <w:pStyle w:val="ListParagraph"/>
        <w:numPr>
          <w:ilvl w:val="0"/>
          <w:numId w:val="2"/>
        </w:numPr>
        <w:rPr>
          <w:rFonts w:ascii="Times New Roman" w:hAnsi="Times New Roman" w:cs="Times New Roman"/>
        </w:rPr>
      </w:pPr>
      <w:r w:rsidRPr="008648C7">
        <w:rPr>
          <w:rFonts w:ascii="Times New Roman" w:hAnsi="Times New Roman" w:cs="Times New Roman"/>
        </w:rPr>
        <w:t xml:space="preserve">The FDA issued a </w:t>
      </w:r>
      <w:hyperlink r:id="rId9" w:history="1">
        <w:r w:rsidRPr="00BF6F8D">
          <w:rPr>
            <w:rStyle w:val="Hyperlink"/>
            <w:rFonts w:ascii="Times New Roman" w:hAnsi="Times New Roman" w:cs="Times New Roman"/>
          </w:rPr>
          <w:t>letter to health care professionals</w:t>
        </w:r>
      </w:hyperlink>
      <w:r w:rsidRPr="008648C7">
        <w:rPr>
          <w:rFonts w:ascii="Times New Roman" w:hAnsi="Times New Roman" w:cs="Times New Roman"/>
        </w:rPr>
        <w:t xml:space="preserve"> outlining their expectation for all respirators to be NIOSH-</w:t>
      </w:r>
      <w:r>
        <w:rPr>
          <w:rFonts w:ascii="Times New Roman" w:hAnsi="Times New Roman" w:cs="Times New Roman"/>
        </w:rPr>
        <w:t>approv</w:t>
      </w:r>
      <w:r w:rsidRPr="008648C7">
        <w:rPr>
          <w:rFonts w:ascii="Times New Roman" w:hAnsi="Times New Roman" w:cs="Times New Roman"/>
        </w:rPr>
        <w:t xml:space="preserve">ed. </w:t>
      </w:r>
    </w:p>
    <w:p w14:paraId="2D03B4E0" w14:textId="77777777" w:rsidR="00151248" w:rsidRPr="008648C7" w:rsidRDefault="00151248" w:rsidP="00151248">
      <w:pPr>
        <w:pStyle w:val="ListParagraph"/>
        <w:numPr>
          <w:ilvl w:val="0"/>
          <w:numId w:val="2"/>
        </w:numPr>
        <w:rPr>
          <w:rFonts w:ascii="Times New Roman" w:hAnsi="Times New Roman" w:cs="Times New Roman"/>
        </w:rPr>
      </w:pPr>
      <w:r w:rsidRPr="008648C7">
        <w:rPr>
          <w:rFonts w:ascii="Times New Roman" w:hAnsi="Times New Roman" w:cs="Times New Roman"/>
        </w:rPr>
        <w:t>Eye protection can be either goggles or a face shield that covers both the front and side of the HCP face.</w:t>
      </w:r>
    </w:p>
    <w:p w14:paraId="3B5EA828" w14:textId="5348850C" w:rsidR="00151248" w:rsidRDefault="00151248" w:rsidP="00151248">
      <w:pPr>
        <w:pStyle w:val="ListParagraph"/>
        <w:numPr>
          <w:ilvl w:val="0"/>
          <w:numId w:val="2"/>
        </w:numPr>
        <w:rPr>
          <w:rFonts w:ascii="Times New Roman" w:hAnsi="Times New Roman" w:cs="Times New Roman"/>
        </w:rPr>
      </w:pPr>
      <w:r>
        <w:rPr>
          <w:rFonts w:ascii="Times New Roman" w:hAnsi="Times New Roman" w:cs="Times New Roman"/>
        </w:rPr>
        <w:t xml:space="preserve">If your </w:t>
      </w:r>
      <w:r>
        <w:rPr>
          <w:rFonts w:ascii="Times New Roman" w:hAnsi="Times New Roman" w:cs="Times New Roman"/>
        </w:rPr>
        <w:t>agency</w:t>
      </w:r>
      <w:r>
        <w:rPr>
          <w:rFonts w:ascii="Times New Roman" w:hAnsi="Times New Roman" w:cs="Times New Roman"/>
        </w:rPr>
        <w:t xml:space="preserve"> is experiencing a PPE shortage, documentation of the following should be maintained while adhering to </w:t>
      </w:r>
      <w:hyperlink r:id="rId10" w:history="1">
        <w:r w:rsidRPr="005A337C">
          <w:rPr>
            <w:rStyle w:val="Hyperlink"/>
            <w:rFonts w:ascii="Times New Roman" w:hAnsi="Times New Roman" w:cs="Times New Roman"/>
          </w:rPr>
          <w:t>Optimization Strategies</w:t>
        </w:r>
      </w:hyperlink>
      <w:r>
        <w:rPr>
          <w:rFonts w:ascii="Times New Roman" w:hAnsi="Times New Roman" w:cs="Times New Roman"/>
        </w:rPr>
        <w:t>:</w:t>
      </w:r>
    </w:p>
    <w:p w14:paraId="3965E5C5" w14:textId="77777777" w:rsidR="00151248" w:rsidRDefault="00151248" w:rsidP="00151248">
      <w:pPr>
        <w:pStyle w:val="ListParagraph"/>
        <w:numPr>
          <w:ilvl w:val="1"/>
          <w:numId w:val="2"/>
        </w:numPr>
        <w:rPr>
          <w:rFonts w:ascii="Times New Roman" w:hAnsi="Times New Roman" w:cs="Times New Roman"/>
        </w:rPr>
      </w:pPr>
      <w:r>
        <w:rPr>
          <w:rFonts w:ascii="Times New Roman" w:hAnsi="Times New Roman" w:cs="Times New Roman"/>
        </w:rPr>
        <w:t xml:space="preserve">All efforts used to obtain PPE including sources outside of the usual supply network. </w:t>
      </w:r>
    </w:p>
    <w:p w14:paraId="152C7BE1" w14:textId="77777777" w:rsidR="00151248" w:rsidRPr="00E421E6" w:rsidRDefault="00151248" w:rsidP="00151248">
      <w:pPr>
        <w:pStyle w:val="ListParagraph"/>
        <w:numPr>
          <w:ilvl w:val="1"/>
          <w:numId w:val="2"/>
        </w:numPr>
        <w:rPr>
          <w:rFonts w:ascii="Times New Roman" w:hAnsi="Times New Roman" w:cs="Times New Roman"/>
        </w:rPr>
      </w:pPr>
      <w:r>
        <w:rPr>
          <w:rFonts w:ascii="Times New Roman" w:hAnsi="Times New Roman" w:cs="Times New Roman"/>
        </w:rPr>
        <w:t>Notification of state/local public health departments of shortage and request for assistance.</w:t>
      </w:r>
    </w:p>
    <w:p w14:paraId="66991AE3" w14:textId="6FA6C6CF" w:rsidR="00151248" w:rsidRPr="008648C7" w:rsidRDefault="00151248" w:rsidP="00151248">
      <w:pPr>
        <w:rPr>
          <w:rFonts w:ascii="Times New Roman" w:hAnsi="Times New Roman" w:cs="Times New Roman"/>
        </w:rPr>
      </w:pPr>
      <w:r w:rsidRPr="008648C7">
        <w:rPr>
          <w:rFonts w:ascii="Times New Roman" w:hAnsi="Times New Roman" w:cs="Times New Roman"/>
        </w:rPr>
        <w:lastRenderedPageBreak/>
        <w:t>Providers are strongly encouraged to r</w:t>
      </w:r>
      <w:r w:rsidR="007D2C4D">
        <w:rPr>
          <w:rFonts w:ascii="Times New Roman" w:hAnsi="Times New Roman" w:cs="Times New Roman"/>
        </w:rPr>
        <w:t xml:space="preserve">eview the </w:t>
      </w:r>
      <w:hyperlink r:id="rId11" w:history="1">
        <w:r w:rsidR="007D2C4D" w:rsidRPr="007D2C4D">
          <w:rPr>
            <w:rStyle w:val="Hyperlink"/>
            <w:rFonts w:ascii="Times New Roman" w:hAnsi="Times New Roman" w:cs="Times New Roman"/>
          </w:rPr>
          <w:t>CDC’s Interim Infection Prevention and Control Recommendations for Healthcare Personnel During the Coronavirus Disease 2019 (COVID-19) Pandemic</w:t>
        </w:r>
      </w:hyperlink>
      <w:r w:rsidR="007D2C4D">
        <w:rPr>
          <w:rFonts w:ascii="Times New Roman" w:hAnsi="Times New Roman" w:cs="Times New Roman"/>
        </w:rPr>
        <w:t xml:space="preserve"> </w:t>
      </w:r>
      <w:r w:rsidRPr="008648C7">
        <w:rPr>
          <w:rFonts w:ascii="Times New Roman" w:hAnsi="Times New Roman" w:cs="Times New Roman"/>
        </w:rPr>
        <w:t xml:space="preserve">and other additional guidance. </w:t>
      </w:r>
    </w:p>
    <w:p w14:paraId="1AA9607E" w14:textId="77777777" w:rsidR="00151248" w:rsidRPr="008648C7" w:rsidRDefault="00151248" w:rsidP="00151248">
      <w:pPr>
        <w:rPr>
          <w:rFonts w:ascii="Times New Roman" w:hAnsi="Times New Roman" w:cs="Times New Roman"/>
        </w:rPr>
      </w:pPr>
    </w:p>
    <w:tbl>
      <w:tblPr>
        <w:tblStyle w:val="TableGrid"/>
        <w:tblW w:w="0" w:type="auto"/>
        <w:tblLook w:val="04A0" w:firstRow="1" w:lastRow="0" w:firstColumn="1" w:lastColumn="0" w:noHBand="0" w:noVBand="1"/>
      </w:tblPr>
      <w:tblGrid>
        <w:gridCol w:w="2114"/>
        <w:gridCol w:w="2448"/>
        <w:gridCol w:w="2354"/>
        <w:gridCol w:w="2434"/>
      </w:tblGrid>
      <w:tr w:rsidR="00151248" w:rsidRPr="008648C7" w14:paraId="40A98880" w14:textId="77777777" w:rsidTr="00104A9E">
        <w:tc>
          <w:tcPr>
            <w:tcW w:w="9350" w:type="dxa"/>
            <w:gridSpan w:val="4"/>
            <w:shd w:val="clear" w:color="auto" w:fill="BFBFBF" w:themeFill="background1" w:themeFillShade="BF"/>
          </w:tcPr>
          <w:p w14:paraId="6EE77612" w14:textId="77777777" w:rsidR="00151248" w:rsidRPr="008648C7" w:rsidRDefault="00151248" w:rsidP="00104A9E">
            <w:pPr>
              <w:jc w:val="center"/>
              <w:rPr>
                <w:rFonts w:ascii="Times New Roman" w:hAnsi="Times New Roman" w:cs="Times New Roman"/>
              </w:rPr>
            </w:pPr>
            <w:r>
              <w:rPr>
                <w:rFonts w:ascii="Times New Roman" w:hAnsi="Times New Roman" w:cs="Times New Roman"/>
              </w:rPr>
              <w:t xml:space="preserve">Masks Defined </w:t>
            </w:r>
          </w:p>
        </w:tc>
      </w:tr>
      <w:tr w:rsidR="00151248" w:rsidRPr="008648C7" w14:paraId="4A769490" w14:textId="77777777" w:rsidTr="00104A9E">
        <w:tc>
          <w:tcPr>
            <w:tcW w:w="2114" w:type="dxa"/>
          </w:tcPr>
          <w:p w14:paraId="42E668FF" w14:textId="77777777" w:rsidR="00151248" w:rsidRPr="008648C7" w:rsidRDefault="00151248" w:rsidP="00104A9E">
            <w:pPr>
              <w:rPr>
                <w:rFonts w:ascii="Times New Roman" w:hAnsi="Times New Roman" w:cs="Times New Roman"/>
              </w:rPr>
            </w:pPr>
          </w:p>
        </w:tc>
        <w:tc>
          <w:tcPr>
            <w:tcW w:w="2448" w:type="dxa"/>
            <w:shd w:val="clear" w:color="auto" w:fill="D9D9D9" w:themeFill="background1" w:themeFillShade="D9"/>
          </w:tcPr>
          <w:p w14:paraId="1C56D7F4"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Disposable/Procedure Mask</w:t>
            </w:r>
          </w:p>
        </w:tc>
        <w:tc>
          <w:tcPr>
            <w:tcW w:w="2354" w:type="dxa"/>
            <w:shd w:val="clear" w:color="auto" w:fill="D9D9D9" w:themeFill="background1" w:themeFillShade="D9"/>
          </w:tcPr>
          <w:p w14:paraId="4AA772E6"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Surgical Mask</w:t>
            </w:r>
          </w:p>
        </w:tc>
        <w:tc>
          <w:tcPr>
            <w:tcW w:w="2434" w:type="dxa"/>
            <w:shd w:val="clear" w:color="auto" w:fill="D9D9D9" w:themeFill="background1" w:themeFillShade="D9"/>
          </w:tcPr>
          <w:p w14:paraId="14EFB16E"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N95 Respirator</w:t>
            </w:r>
          </w:p>
        </w:tc>
      </w:tr>
      <w:tr w:rsidR="00151248" w:rsidRPr="008648C7" w14:paraId="652FA791" w14:textId="77777777" w:rsidTr="00104A9E">
        <w:tc>
          <w:tcPr>
            <w:tcW w:w="2114" w:type="dxa"/>
          </w:tcPr>
          <w:p w14:paraId="422E3CB7"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Description</w:t>
            </w:r>
          </w:p>
        </w:tc>
        <w:tc>
          <w:tcPr>
            <w:tcW w:w="2448" w:type="dxa"/>
          </w:tcPr>
          <w:p w14:paraId="02DC219C"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 xml:space="preserve">A mask that covers the user's nose and mouth and may or may not meet fluid barrier or filtration efficiency levels. Face masks may be used by the </w:t>
            </w:r>
            <w:proofErr w:type="gramStart"/>
            <w:r w:rsidRPr="008648C7">
              <w:rPr>
                <w:rFonts w:ascii="Times New Roman" w:hAnsi="Times New Roman" w:cs="Times New Roman"/>
              </w:rPr>
              <w:t>general public</w:t>
            </w:r>
            <w:proofErr w:type="gramEnd"/>
            <w:r w:rsidRPr="008648C7">
              <w:rPr>
                <w:rFonts w:ascii="Times New Roman" w:hAnsi="Times New Roman" w:cs="Times New Roman"/>
              </w:rPr>
              <w:t xml:space="preserve"> and health care personnel as source control in accordance with CDC recommendations.</w:t>
            </w:r>
          </w:p>
        </w:tc>
        <w:tc>
          <w:tcPr>
            <w:tcW w:w="2354" w:type="dxa"/>
          </w:tcPr>
          <w:p w14:paraId="52020B14"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A mask that covers the user's nose and mouth and provides a physical barrier to fluids and particulate materials. The mask meets certain fluid barrier protection standards and Class I or Class II flammability tests. While surgical masks may be effective in blocking splashes and large-particle droplets, they do not provide complete protection from germs and other contaminants because of the loose fit between the surface of the mask and your face.</w:t>
            </w:r>
          </w:p>
        </w:tc>
        <w:tc>
          <w:tcPr>
            <w:tcW w:w="2434" w:type="dxa"/>
          </w:tcPr>
          <w:p w14:paraId="336FDAF5"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N95s and surgical N95s, filter at least 95 percent of airborne particles. They are PPE that tightly fit the face and provide certain filtration efficiency levels to help reduce wearer exposure to pathogenic airborne particles in a health care setting. They provide a higher level of protection against viruses and bacteria when properly fit-tested.</w:t>
            </w:r>
          </w:p>
        </w:tc>
      </w:tr>
      <w:tr w:rsidR="00151248" w:rsidRPr="008648C7" w14:paraId="61593EEB" w14:textId="77777777" w:rsidTr="00104A9E">
        <w:tc>
          <w:tcPr>
            <w:tcW w:w="2114" w:type="dxa"/>
          </w:tcPr>
          <w:p w14:paraId="703C5936"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Can it be used for Source Control?</w:t>
            </w:r>
          </w:p>
        </w:tc>
        <w:tc>
          <w:tcPr>
            <w:tcW w:w="2448" w:type="dxa"/>
          </w:tcPr>
          <w:p w14:paraId="56377044"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Yes</w:t>
            </w:r>
          </w:p>
        </w:tc>
        <w:tc>
          <w:tcPr>
            <w:tcW w:w="2354" w:type="dxa"/>
          </w:tcPr>
          <w:p w14:paraId="27DAC017"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Yes</w:t>
            </w:r>
          </w:p>
        </w:tc>
        <w:tc>
          <w:tcPr>
            <w:tcW w:w="2434" w:type="dxa"/>
          </w:tcPr>
          <w:p w14:paraId="0E07EE9A"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Yes</w:t>
            </w:r>
          </w:p>
        </w:tc>
      </w:tr>
      <w:tr w:rsidR="00151248" w:rsidRPr="008648C7" w14:paraId="48CB794D" w14:textId="77777777" w:rsidTr="00104A9E">
        <w:tc>
          <w:tcPr>
            <w:tcW w:w="2114" w:type="dxa"/>
          </w:tcPr>
          <w:p w14:paraId="37CFA752"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Appropriate Use</w:t>
            </w:r>
          </w:p>
        </w:tc>
        <w:tc>
          <w:tcPr>
            <w:tcW w:w="2448" w:type="dxa"/>
          </w:tcPr>
          <w:p w14:paraId="3452C87C" w14:textId="77777777" w:rsidR="00151248" w:rsidRPr="008648C7" w:rsidRDefault="00151248" w:rsidP="00104A9E">
            <w:pPr>
              <w:pStyle w:val="ListParagraph"/>
              <w:numPr>
                <w:ilvl w:val="0"/>
                <w:numId w:val="1"/>
              </w:numPr>
              <w:rPr>
                <w:rFonts w:ascii="Times New Roman" w:hAnsi="Times New Roman" w:cs="Times New Roman"/>
              </w:rPr>
            </w:pPr>
            <w:r w:rsidRPr="008648C7">
              <w:rPr>
                <w:rFonts w:ascii="Times New Roman" w:hAnsi="Times New Roman" w:cs="Times New Roman"/>
              </w:rPr>
              <w:t xml:space="preserve">Routine tasks and patient care </w:t>
            </w:r>
          </w:p>
          <w:p w14:paraId="66E212C3" w14:textId="77777777" w:rsidR="00151248" w:rsidRPr="004C226F" w:rsidRDefault="00151248" w:rsidP="00104A9E">
            <w:pPr>
              <w:rPr>
                <w:rFonts w:ascii="Times New Roman" w:hAnsi="Times New Roman" w:cs="Times New Roman"/>
              </w:rPr>
            </w:pPr>
          </w:p>
        </w:tc>
        <w:tc>
          <w:tcPr>
            <w:tcW w:w="2354" w:type="dxa"/>
          </w:tcPr>
          <w:p w14:paraId="09F6BB41" w14:textId="77777777" w:rsidR="00151248" w:rsidRPr="008648C7" w:rsidRDefault="00151248" w:rsidP="00104A9E">
            <w:pPr>
              <w:pStyle w:val="ListParagraph"/>
              <w:numPr>
                <w:ilvl w:val="0"/>
                <w:numId w:val="1"/>
              </w:numPr>
              <w:spacing w:after="160" w:line="259" w:lineRule="auto"/>
              <w:rPr>
                <w:rFonts w:ascii="Times New Roman" w:hAnsi="Times New Roman" w:cs="Times New Roman"/>
              </w:rPr>
            </w:pPr>
            <w:r w:rsidRPr="008648C7">
              <w:rPr>
                <w:rFonts w:ascii="Times New Roman" w:hAnsi="Times New Roman" w:cs="Times New Roman"/>
              </w:rPr>
              <w:t>Routine tasks and patient care</w:t>
            </w:r>
          </w:p>
          <w:p w14:paraId="597A5C1E" w14:textId="77777777" w:rsidR="00151248" w:rsidRPr="008648C7" w:rsidRDefault="00151248" w:rsidP="00104A9E">
            <w:pPr>
              <w:pStyle w:val="ListParagraph"/>
              <w:numPr>
                <w:ilvl w:val="0"/>
                <w:numId w:val="1"/>
              </w:numPr>
              <w:spacing w:after="160" w:line="259" w:lineRule="auto"/>
              <w:rPr>
                <w:rFonts w:ascii="Times New Roman" w:hAnsi="Times New Roman" w:cs="Times New Roman"/>
              </w:rPr>
            </w:pPr>
            <w:r w:rsidRPr="008648C7">
              <w:rPr>
                <w:rFonts w:ascii="Times New Roman" w:hAnsi="Times New Roman" w:cs="Times New Roman"/>
              </w:rPr>
              <w:t>Transmission-based precaution</w:t>
            </w:r>
            <w:r>
              <w:rPr>
                <w:rFonts w:ascii="Times New Roman" w:hAnsi="Times New Roman" w:cs="Times New Roman"/>
              </w:rPr>
              <w:t>s</w:t>
            </w:r>
          </w:p>
        </w:tc>
        <w:tc>
          <w:tcPr>
            <w:tcW w:w="2434" w:type="dxa"/>
          </w:tcPr>
          <w:p w14:paraId="462CCAE2" w14:textId="77777777" w:rsidR="00151248" w:rsidRPr="008648C7" w:rsidRDefault="00151248" w:rsidP="00104A9E">
            <w:pPr>
              <w:pStyle w:val="ListParagraph"/>
              <w:numPr>
                <w:ilvl w:val="0"/>
                <w:numId w:val="1"/>
              </w:numPr>
              <w:rPr>
                <w:rFonts w:ascii="Times New Roman" w:hAnsi="Times New Roman" w:cs="Times New Roman"/>
              </w:rPr>
            </w:pPr>
            <w:r w:rsidRPr="008648C7">
              <w:rPr>
                <w:rFonts w:ascii="Times New Roman" w:hAnsi="Times New Roman" w:cs="Times New Roman"/>
              </w:rPr>
              <w:t>During all aerosol-generating procedures (nebulizers, high flow O2, etc.)</w:t>
            </w:r>
          </w:p>
          <w:p w14:paraId="3F700DBA" w14:textId="5DAA8D46" w:rsidR="00151248" w:rsidRPr="008648C7" w:rsidRDefault="00151248" w:rsidP="00104A9E">
            <w:pPr>
              <w:pStyle w:val="ListParagraph"/>
              <w:numPr>
                <w:ilvl w:val="0"/>
                <w:numId w:val="1"/>
              </w:numPr>
              <w:rPr>
                <w:rFonts w:ascii="Times New Roman" w:hAnsi="Times New Roman" w:cs="Times New Roman"/>
              </w:rPr>
            </w:pPr>
            <w:r w:rsidRPr="008648C7">
              <w:rPr>
                <w:rFonts w:ascii="Times New Roman" w:hAnsi="Times New Roman" w:cs="Times New Roman"/>
              </w:rPr>
              <w:t xml:space="preserve">When caring for </w:t>
            </w:r>
            <w:r w:rsidR="00AA413F">
              <w:rPr>
                <w:rFonts w:ascii="Times New Roman" w:hAnsi="Times New Roman" w:cs="Times New Roman"/>
              </w:rPr>
              <w:t>patient</w:t>
            </w:r>
            <w:r w:rsidRPr="008648C7">
              <w:rPr>
                <w:rFonts w:ascii="Times New Roman" w:hAnsi="Times New Roman" w:cs="Times New Roman"/>
              </w:rPr>
              <w:t>s with suspected or known COVID-19</w:t>
            </w:r>
          </w:p>
        </w:tc>
      </w:tr>
      <w:tr w:rsidR="00151248" w:rsidRPr="008648C7" w14:paraId="1AD8079B" w14:textId="77777777" w:rsidTr="00104A9E">
        <w:tc>
          <w:tcPr>
            <w:tcW w:w="2114" w:type="dxa"/>
          </w:tcPr>
          <w:p w14:paraId="40F96BEB"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Authorization Required</w:t>
            </w:r>
          </w:p>
        </w:tc>
        <w:tc>
          <w:tcPr>
            <w:tcW w:w="2448" w:type="dxa"/>
          </w:tcPr>
          <w:p w14:paraId="3BADF442"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None</w:t>
            </w:r>
          </w:p>
        </w:tc>
        <w:tc>
          <w:tcPr>
            <w:tcW w:w="2354" w:type="dxa"/>
          </w:tcPr>
          <w:p w14:paraId="1B80524F"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FDA-approved</w:t>
            </w:r>
          </w:p>
        </w:tc>
        <w:tc>
          <w:tcPr>
            <w:tcW w:w="2434" w:type="dxa"/>
          </w:tcPr>
          <w:p w14:paraId="24E25B5F"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 xml:space="preserve">NIOSH certified </w:t>
            </w:r>
          </w:p>
        </w:tc>
      </w:tr>
      <w:tr w:rsidR="00151248" w:rsidRPr="008648C7" w14:paraId="697ADF77" w14:textId="77777777" w:rsidTr="00104A9E">
        <w:tc>
          <w:tcPr>
            <w:tcW w:w="2114" w:type="dxa"/>
          </w:tcPr>
          <w:p w14:paraId="6CA892B5"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When to dispose</w:t>
            </w:r>
          </w:p>
        </w:tc>
        <w:tc>
          <w:tcPr>
            <w:tcW w:w="2448" w:type="dxa"/>
          </w:tcPr>
          <w:p w14:paraId="1A111BF2" w14:textId="1BECA089" w:rsidR="00151248" w:rsidRPr="008648C7" w:rsidRDefault="007D2C4D" w:rsidP="00104A9E">
            <w:pPr>
              <w:rPr>
                <w:rFonts w:ascii="Times New Roman" w:hAnsi="Times New Roman" w:cs="Times New Roman"/>
              </w:rPr>
            </w:pPr>
            <w:r>
              <w:rPr>
                <w:rFonts w:ascii="Times New Roman" w:hAnsi="Times New Roman" w:cs="Times New Roman"/>
              </w:rPr>
              <w:t>After each patient encounter</w:t>
            </w:r>
          </w:p>
        </w:tc>
        <w:tc>
          <w:tcPr>
            <w:tcW w:w="2354" w:type="dxa"/>
          </w:tcPr>
          <w:p w14:paraId="1D69E5DD" w14:textId="28EE2F5F" w:rsidR="00151248" w:rsidRPr="008648C7" w:rsidRDefault="007D2C4D" w:rsidP="00104A9E">
            <w:pPr>
              <w:rPr>
                <w:rFonts w:ascii="Times New Roman" w:hAnsi="Times New Roman" w:cs="Times New Roman"/>
              </w:rPr>
            </w:pPr>
            <w:r>
              <w:rPr>
                <w:rFonts w:ascii="Times New Roman" w:hAnsi="Times New Roman" w:cs="Times New Roman"/>
              </w:rPr>
              <w:t>After each patient encounter</w:t>
            </w:r>
          </w:p>
        </w:tc>
        <w:tc>
          <w:tcPr>
            <w:tcW w:w="2434" w:type="dxa"/>
          </w:tcPr>
          <w:p w14:paraId="02A405B0" w14:textId="44467CF1" w:rsidR="00151248" w:rsidRPr="008648C7" w:rsidRDefault="00151248" w:rsidP="00104A9E">
            <w:pPr>
              <w:rPr>
                <w:rFonts w:ascii="Times New Roman" w:hAnsi="Times New Roman" w:cs="Times New Roman"/>
              </w:rPr>
            </w:pPr>
            <w:r w:rsidRPr="008648C7">
              <w:rPr>
                <w:rFonts w:ascii="Times New Roman" w:hAnsi="Times New Roman" w:cs="Times New Roman"/>
              </w:rPr>
              <w:t xml:space="preserve">After each patient encounter </w:t>
            </w:r>
          </w:p>
        </w:tc>
      </w:tr>
      <w:tr w:rsidR="00151248" w:rsidRPr="008648C7" w14:paraId="3815116F" w14:textId="77777777" w:rsidTr="00104A9E">
        <w:tc>
          <w:tcPr>
            <w:tcW w:w="2114" w:type="dxa"/>
          </w:tcPr>
          <w:p w14:paraId="29DBD0B8"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Fit testing required</w:t>
            </w:r>
          </w:p>
        </w:tc>
        <w:tc>
          <w:tcPr>
            <w:tcW w:w="2448" w:type="dxa"/>
          </w:tcPr>
          <w:p w14:paraId="70E2F051"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No</w:t>
            </w:r>
          </w:p>
        </w:tc>
        <w:tc>
          <w:tcPr>
            <w:tcW w:w="2354" w:type="dxa"/>
          </w:tcPr>
          <w:p w14:paraId="4D2A4C96"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No</w:t>
            </w:r>
          </w:p>
        </w:tc>
        <w:tc>
          <w:tcPr>
            <w:tcW w:w="2434" w:type="dxa"/>
          </w:tcPr>
          <w:p w14:paraId="6AC8E564" w14:textId="77777777" w:rsidR="00151248" w:rsidRPr="008648C7" w:rsidRDefault="00151248" w:rsidP="00104A9E">
            <w:pPr>
              <w:rPr>
                <w:rFonts w:ascii="Times New Roman" w:hAnsi="Times New Roman" w:cs="Times New Roman"/>
              </w:rPr>
            </w:pPr>
            <w:r w:rsidRPr="008648C7">
              <w:rPr>
                <w:rFonts w:ascii="Times New Roman" w:hAnsi="Times New Roman" w:cs="Times New Roman"/>
              </w:rPr>
              <w:t>Yes</w:t>
            </w:r>
          </w:p>
        </w:tc>
      </w:tr>
    </w:tbl>
    <w:p w14:paraId="1B4A9C94" w14:textId="77777777" w:rsidR="00151248" w:rsidRPr="008648C7" w:rsidRDefault="00151248" w:rsidP="00151248">
      <w:pPr>
        <w:rPr>
          <w:rFonts w:ascii="Times New Roman" w:hAnsi="Times New Roman" w:cs="Times New Roman"/>
        </w:rPr>
      </w:pPr>
    </w:p>
    <w:p w14:paraId="3DA43E0B" w14:textId="77777777" w:rsidR="001833F5" w:rsidRDefault="001833F5"/>
    <w:sectPr w:rsidR="001833F5">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B75A" w14:textId="77777777" w:rsidR="00E421E6" w:rsidRDefault="00AA413F" w:rsidP="00E421E6">
    <w:pPr>
      <w:pStyle w:val="Footer"/>
    </w:pPr>
    <w:sdt>
      <w:sdtPr>
        <w:id w:val="-1330507898"/>
        <w:docPartObj>
          <w:docPartGallery w:val="Page Numbers (Bottom of Page)"/>
          <w:docPartUnique/>
        </w:docPartObj>
      </w:sdtPr>
      <w:sdtEndPr>
        <w:rPr>
          <w:noProof/>
        </w:rPr>
      </w:sdtEndPr>
      <w:sdtContent>
        <w:r>
          <w:t xml:space="preserve">Iowa Health Care Association </w:t>
        </w:r>
        <w:r>
          <w:tab/>
        </w:r>
        <w:r>
          <w:fldChar w:fldCharType="begin"/>
        </w:r>
        <w:r>
          <w:instrText xml:space="preserve"> PAGE   \* MERGEFORMAT </w:instrText>
        </w:r>
        <w:r>
          <w:fldChar w:fldCharType="separate"/>
        </w:r>
        <w:r>
          <w:t>1</w:t>
        </w:r>
        <w:r>
          <w:rPr>
            <w:noProof/>
          </w:rPr>
          <w:fldChar w:fldCharType="end"/>
        </w:r>
      </w:sdtContent>
    </w:sdt>
    <w:r>
      <w:rPr>
        <w:noProof/>
      </w:rPr>
      <w:tab/>
      <w:t>July 2021</w:t>
    </w:r>
  </w:p>
  <w:p w14:paraId="430AF9FF" w14:textId="77777777" w:rsidR="00E421E6" w:rsidRDefault="00AA413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488B"/>
    <w:multiLevelType w:val="hybridMultilevel"/>
    <w:tmpl w:val="920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A4B02"/>
    <w:multiLevelType w:val="hybridMultilevel"/>
    <w:tmpl w:val="CF1C2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836E4"/>
    <w:multiLevelType w:val="hybridMultilevel"/>
    <w:tmpl w:val="4086B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48"/>
    <w:rsid w:val="00151248"/>
    <w:rsid w:val="001833F5"/>
    <w:rsid w:val="007D2C4D"/>
    <w:rsid w:val="00AA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C822"/>
  <w15:chartTrackingRefBased/>
  <w15:docId w15:val="{99F21495-05FB-469E-882B-DD8A9EE5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248"/>
    <w:pPr>
      <w:ind w:left="720"/>
      <w:contextualSpacing/>
    </w:pPr>
  </w:style>
  <w:style w:type="character" w:styleId="Hyperlink">
    <w:name w:val="Hyperlink"/>
    <w:basedOn w:val="DefaultParagraphFont"/>
    <w:uiPriority w:val="99"/>
    <w:unhideWhenUsed/>
    <w:rsid w:val="00151248"/>
    <w:rPr>
      <w:color w:val="0563C1" w:themeColor="hyperlink"/>
      <w:u w:val="single"/>
    </w:rPr>
  </w:style>
  <w:style w:type="paragraph" w:styleId="Footer">
    <w:name w:val="footer"/>
    <w:basedOn w:val="Normal"/>
    <w:link w:val="FooterChar"/>
    <w:uiPriority w:val="99"/>
    <w:unhideWhenUsed/>
    <w:rsid w:val="00151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248"/>
  </w:style>
  <w:style w:type="character" w:styleId="UnresolvedMention">
    <w:name w:val="Unresolved Mention"/>
    <w:basedOn w:val="DefaultParagraphFont"/>
    <w:uiPriority w:val="99"/>
    <w:semiHidden/>
    <w:unhideWhenUsed/>
    <w:rsid w:val="007D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npptl/respirators/testing/NonNIOSHresul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infectioncontrol/guidelines/isolation/index.htm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cdc.gov/hicpac/recommendations/core-practices.html" TargetMode="External"/><Relationship Id="rId11" Type="http://schemas.openxmlformats.org/officeDocument/2006/relationships/hyperlink" Target="https://www.cdc.gov/coronavirus/2019-ncov/hcp/infection-control-recommendations.html"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s://www.cdc.gov/coronavirus/2019-ncov/hcp/ppe-strategy/index.html" TargetMode="External"/><Relationship Id="rId4" Type="http://schemas.openxmlformats.org/officeDocument/2006/relationships/webSettings" Target="webSettings.xml"/><Relationship Id="rId9" Type="http://schemas.openxmlformats.org/officeDocument/2006/relationships/hyperlink" Target="https://www.fda.gov/medical-devices/letters-health-care-providers/update-fda-no-longer-authorizes-use-non-niosh-approved-or-decontaminated-disposable-respira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CCE00F844BD4B8745E571FA008E17" ma:contentTypeVersion="13" ma:contentTypeDescription="Create a new document." ma:contentTypeScope="" ma:versionID="131b48202bc4b58ee5dae7243733560c">
  <xsd:schema xmlns:xsd="http://www.w3.org/2001/XMLSchema" xmlns:xs="http://www.w3.org/2001/XMLSchema" xmlns:p="http://schemas.microsoft.com/office/2006/metadata/properties" xmlns:ns2="19188613-eb48-4efb-a643-df84dffc7717" xmlns:ns3="47aff4f9-a562-466b-9034-e1b083e8cc35" targetNamespace="http://schemas.microsoft.com/office/2006/metadata/properties" ma:root="true" ma:fieldsID="9ac789ef31d4e1dbf6fc8eddfa32c2da" ns2:_="" ns3:_="">
    <xsd:import namespace="19188613-eb48-4efb-a643-df84dffc7717"/>
    <xsd:import namespace="47aff4f9-a562-466b-9034-e1b083e8c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88613-eb48-4efb-a643-df84dffc7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ff4f9-a562-466b-9034-e1b083e8c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25CBD-4811-42E1-A586-D7E47C7A69C0}"/>
</file>

<file path=customXml/itemProps2.xml><?xml version="1.0" encoding="utf-8"?>
<ds:datastoreItem xmlns:ds="http://schemas.openxmlformats.org/officeDocument/2006/customXml" ds:itemID="{C92DA529-C200-4ED4-ADC8-4F4D5847D6D2}"/>
</file>

<file path=customXml/itemProps3.xml><?xml version="1.0" encoding="utf-8"?>
<ds:datastoreItem xmlns:ds="http://schemas.openxmlformats.org/officeDocument/2006/customXml" ds:itemID="{3060C6CE-A3C4-4216-91BB-EE080214AA8A}"/>
</file>

<file path=docProps/app.xml><?xml version="1.0" encoding="utf-8"?>
<Properties xmlns="http://schemas.openxmlformats.org/officeDocument/2006/extended-properties" xmlns:vt="http://schemas.openxmlformats.org/officeDocument/2006/docPropsVTypes">
  <Template>Normal</Template>
  <TotalTime>39</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Irlbeck</dc:creator>
  <cp:keywords/>
  <dc:description/>
  <cp:lastModifiedBy>Brenda Irlbeck</cp:lastModifiedBy>
  <cp:revision>1</cp:revision>
  <dcterms:created xsi:type="dcterms:W3CDTF">2021-07-09T15:41:00Z</dcterms:created>
  <dcterms:modified xsi:type="dcterms:W3CDTF">2021-07-09T16:20:00Z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0x010100781CCE00F844BD4B8745E571FA008E17</vt:lpwstr>
  </property>
</Properties>
</file>